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6E809" w14:textId="50467359" w:rsidR="007A25BB" w:rsidRPr="0026464F" w:rsidRDefault="003A3069" w:rsidP="00A8439B">
      <w:pPr>
        <w:jc w:val="center"/>
        <w:rPr>
          <w:rFonts w:asciiTheme="minorHAnsi" w:hAnsiTheme="minorHAnsi" w:cstheme="minorHAnsi"/>
          <w:sz w:val="16"/>
          <w:szCs w:val="16"/>
        </w:rPr>
      </w:pPr>
      <w:r w:rsidRPr="0026464F">
        <w:rPr>
          <w:noProof/>
          <w:sz w:val="16"/>
          <w:szCs w:val="16"/>
        </w:rPr>
        <w:drawing>
          <wp:anchor distT="0" distB="0" distL="114300" distR="114300" simplePos="0" relativeHeight="251658240" behindDoc="0" locked="0" layoutInCell="1" allowOverlap="1" wp14:anchorId="37569B66" wp14:editId="10947B57">
            <wp:simplePos x="0" y="0"/>
            <wp:positionH relativeFrom="margin">
              <wp:posOffset>4235119</wp:posOffset>
            </wp:positionH>
            <wp:positionV relativeFrom="paragraph">
              <wp:posOffset>-605790</wp:posOffset>
            </wp:positionV>
            <wp:extent cx="2487600" cy="849600"/>
            <wp:effectExtent l="0" t="0" r="0" b="8255"/>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extLst>
                        <a:ext uri="{28A0092B-C50C-407E-A947-70E740481C1C}">
                          <a14:useLocalDpi xmlns:a14="http://schemas.microsoft.com/office/drawing/2010/main" val="0"/>
                        </a:ext>
                      </a:extLst>
                    </a:blip>
                    <a:stretch>
                      <a:fillRect/>
                    </a:stretch>
                  </pic:blipFill>
                  <pic:spPr>
                    <a:xfrm>
                      <a:off x="0" y="0"/>
                      <a:ext cx="2487600" cy="849600"/>
                    </a:xfrm>
                    <a:prstGeom prst="rect">
                      <a:avLst/>
                    </a:prstGeom>
                  </pic:spPr>
                </pic:pic>
              </a:graphicData>
            </a:graphic>
            <wp14:sizeRelH relativeFrom="page">
              <wp14:pctWidth>0</wp14:pctWidth>
            </wp14:sizeRelH>
            <wp14:sizeRelV relativeFrom="page">
              <wp14:pctHeight>0</wp14:pctHeight>
            </wp14:sizeRelV>
          </wp:anchor>
        </w:drawing>
      </w:r>
      <w:r w:rsidR="00C17CC9">
        <w:rPr>
          <w:rFonts w:asciiTheme="minorHAnsi" w:hAnsiTheme="minorHAnsi" w:cstheme="minorHAnsi"/>
          <w:sz w:val="16"/>
          <w:szCs w:val="16"/>
        </w:rPr>
        <w:t xml:space="preserve"> </w:t>
      </w:r>
    </w:p>
    <w:p w14:paraId="329087C6" w14:textId="3882D8B7" w:rsidR="007A25BB" w:rsidRPr="006662CD" w:rsidRDefault="007A25BB" w:rsidP="006662CD">
      <w:pPr>
        <w:pStyle w:val="Heading1"/>
        <w:spacing w:before="0" w:after="200" w:line="276" w:lineRule="auto"/>
        <w:rPr>
          <w:rFonts w:asciiTheme="minorHAnsi" w:hAnsiTheme="minorHAnsi" w:cstheme="minorHAnsi"/>
          <w:b/>
          <w:color w:val="auto"/>
          <w:sz w:val="40"/>
          <w:szCs w:val="40"/>
        </w:rPr>
      </w:pPr>
      <w:r w:rsidRPr="006662CD">
        <w:rPr>
          <w:rFonts w:asciiTheme="minorHAnsi" w:hAnsiTheme="minorHAnsi" w:cstheme="minorHAnsi"/>
          <w:b/>
          <w:color w:val="auto"/>
          <w:sz w:val="40"/>
          <w:szCs w:val="40"/>
        </w:rPr>
        <w:t>INTERNAL AUDIT CHARTER</w:t>
      </w:r>
    </w:p>
    <w:p w14:paraId="6DB593FD" w14:textId="77777777" w:rsidR="00766D3F" w:rsidRPr="006662CD" w:rsidRDefault="00766D3F" w:rsidP="006662CD">
      <w:pPr>
        <w:spacing w:after="200" w:line="276" w:lineRule="auto"/>
        <w:ind w:left="357" w:hanging="357"/>
        <w:rPr>
          <w:rFonts w:asciiTheme="minorHAnsi" w:hAnsiTheme="minorHAnsi" w:cstheme="minorHAnsi"/>
          <w:sz w:val="30"/>
          <w:szCs w:val="30"/>
        </w:rPr>
      </w:pPr>
      <w:r w:rsidRPr="006662CD">
        <w:rPr>
          <w:rFonts w:asciiTheme="minorHAnsi" w:hAnsiTheme="minorHAnsi" w:cstheme="minorHAnsi"/>
          <w:b/>
          <w:bCs/>
          <w:sz w:val="30"/>
          <w:szCs w:val="30"/>
        </w:rPr>
        <w:t>1</w:t>
      </w:r>
      <w:r w:rsidRPr="006662CD">
        <w:rPr>
          <w:rFonts w:asciiTheme="minorHAnsi" w:hAnsiTheme="minorHAnsi" w:cstheme="minorHAnsi"/>
          <w:b/>
          <w:bCs/>
          <w:sz w:val="30"/>
          <w:szCs w:val="30"/>
        </w:rPr>
        <w:tab/>
        <w:t>Purpose</w:t>
      </w:r>
    </w:p>
    <w:p w14:paraId="69FB41AD" w14:textId="77777777" w:rsidR="00766D3F" w:rsidRPr="0068570E" w:rsidRDefault="00766D3F" w:rsidP="006662CD">
      <w:pPr>
        <w:spacing w:after="200" w:line="276" w:lineRule="auto"/>
        <w:rPr>
          <w:rFonts w:asciiTheme="minorHAnsi" w:hAnsiTheme="minorHAnsi" w:cstheme="minorHAnsi"/>
          <w:color w:val="000000"/>
          <w:sz w:val="20"/>
          <w:szCs w:val="20"/>
        </w:rPr>
      </w:pPr>
      <w:r w:rsidRPr="0068570E">
        <w:rPr>
          <w:rFonts w:asciiTheme="minorHAnsi" w:hAnsiTheme="minorHAnsi" w:cstheme="minorHAnsi"/>
          <w:color w:val="000000"/>
          <w:sz w:val="20"/>
          <w:szCs w:val="20"/>
        </w:rPr>
        <w:t>This Charter formally defines the purpose, authority and responsibility of the Internal Audit function of La Trobe University as conferred by the Corporate Governance Audit and Risk Committee (CGARC) under authority of the La Trobe University Council.</w:t>
      </w:r>
    </w:p>
    <w:p w14:paraId="671371EC" w14:textId="77777777" w:rsidR="00766D3F" w:rsidRPr="0068570E" w:rsidRDefault="00766D3F" w:rsidP="006662CD">
      <w:pPr>
        <w:spacing w:after="200" w:line="276" w:lineRule="auto"/>
        <w:rPr>
          <w:rFonts w:asciiTheme="minorHAnsi" w:hAnsiTheme="minorHAnsi" w:cstheme="minorHAnsi"/>
          <w:color w:val="000000"/>
          <w:sz w:val="20"/>
          <w:szCs w:val="20"/>
        </w:rPr>
      </w:pPr>
      <w:r w:rsidRPr="0068570E">
        <w:rPr>
          <w:rFonts w:asciiTheme="minorHAnsi" w:hAnsiTheme="minorHAnsi" w:cstheme="minorHAnsi"/>
          <w:color w:val="000000"/>
          <w:sz w:val="20"/>
          <w:szCs w:val="20"/>
        </w:rPr>
        <w:t xml:space="preserve">The Charter has been prepared with due regard to the requirements of the </w:t>
      </w:r>
      <w:r w:rsidRPr="0068570E">
        <w:rPr>
          <w:rFonts w:asciiTheme="minorHAnsi" w:hAnsiTheme="minorHAnsi" w:cstheme="minorHAnsi"/>
          <w:i/>
          <w:color w:val="000000"/>
          <w:sz w:val="20"/>
          <w:szCs w:val="20"/>
        </w:rPr>
        <w:t>Financial Management Act (Vic) 1994</w:t>
      </w:r>
      <w:r w:rsidRPr="0068570E">
        <w:rPr>
          <w:rFonts w:asciiTheme="minorHAnsi" w:hAnsiTheme="minorHAnsi" w:cstheme="minorHAnsi"/>
          <w:color w:val="000000"/>
          <w:sz w:val="20"/>
          <w:szCs w:val="20"/>
        </w:rPr>
        <w:t xml:space="preserve"> and the </w:t>
      </w:r>
      <w:r w:rsidR="00F96841" w:rsidRPr="0068570E">
        <w:rPr>
          <w:rFonts w:asciiTheme="minorHAnsi" w:hAnsiTheme="minorHAnsi" w:cstheme="minorHAnsi"/>
          <w:i/>
          <w:color w:val="000000"/>
          <w:sz w:val="20"/>
          <w:szCs w:val="20"/>
        </w:rPr>
        <w:t>La Trobe</w:t>
      </w:r>
      <w:r w:rsidRPr="0068570E">
        <w:rPr>
          <w:rFonts w:asciiTheme="minorHAnsi" w:hAnsiTheme="minorHAnsi" w:cstheme="minorHAnsi"/>
          <w:i/>
          <w:color w:val="000000"/>
          <w:sz w:val="20"/>
          <w:szCs w:val="20"/>
        </w:rPr>
        <w:t xml:space="preserve"> University Act (Vic) 2009</w:t>
      </w:r>
      <w:r w:rsidRPr="0068570E">
        <w:rPr>
          <w:rFonts w:asciiTheme="minorHAnsi" w:hAnsiTheme="minorHAnsi" w:cstheme="minorHAnsi"/>
          <w:color w:val="000000"/>
          <w:sz w:val="20"/>
          <w:szCs w:val="20"/>
        </w:rPr>
        <w:t xml:space="preserve"> and is consistent with the Definition of Internal Auditing, the Code of Ethics and the International Standards for the Professional Practice of Internal Auditing issued by The Institute of Internal Auditors.</w:t>
      </w:r>
    </w:p>
    <w:p w14:paraId="70065009" w14:textId="77777777" w:rsidR="00766D3F" w:rsidRPr="0068570E" w:rsidRDefault="00766D3F" w:rsidP="006662CD">
      <w:pPr>
        <w:spacing w:after="200" w:line="276" w:lineRule="auto"/>
        <w:rPr>
          <w:rFonts w:asciiTheme="minorHAnsi" w:hAnsiTheme="minorHAnsi" w:cstheme="minorHAnsi"/>
          <w:color w:val="000000"/>
          <w:sz w:val="20"/>
          <w:szCs w:val="20"/>
        </w:rPr>
      </w:pPr>
      <w:r w:rsidRPr="0068570E">
        <w:rPr>
          <w:rFonts w:asciiTheme="minorHAnsi" w:hAnsiTheme="minorHAnsi" w:cstheme="minorHAnsi"/>
          <w:color w:val="000000"/>
          <w:sz w:val="20"/>
          <w:szCs w:val="20"/>
        </w:rPr>
        <w:t xml:space="preserve">This Charter should be read in conjunction with the </w:t>
      </w:r>
      <w:r w:rsidR="008A0F6E" w:rsidRPr="0068570E">
        <w:rPr>
          <w:rFonts w:asciiTheme="minorHAnsi" w:hAnsiTheme="minorHAnsi" w:cstheme="minorHAnsi"/>
          <w:color w:val="000000"/>
          <w:sz w:val="20"/>
          <w:szCs w:val="20"/>
        </w:rPr>
        <w:t>U</w:t>
      </w:r>
      <w:r w:rsidR="000E1624" w:rsidRPr="0068570E">
        <w:rPr>
          <w:rFonts w:asciiTheme="minorHAnsi" w:hAnsiTheme="minorHAnsi" w:cstheme="minorHAnsi"/>
          <w:color w:val="000000"/>
          <w:sz w:val="20"/>
          <w:szCs w:val="20"/>
        </w:rPr>
        <w:t xml:space="preserve">niversity’s </w:t>
      </w:r>
      <w:r w:rsidRPr="0068570E">
        <w:rPr>
          <w:rFonts w:asciiTheme="minorHAnsi" w:hAnsiTheme="minorHAnsi" w:cstheme="minorHAnsi"/>
          <w:color w:val="000000"/>
          <w:sz w:val="20"/>
          <w:szCs w:val="20"/>
        </w:rPr>
        <w:t xml:space="preserve">Internal Audit Policy </w:t>
      </w:r>
      <w:r w:rsidR="000E1624" w:rsidRPr="0068570E">
        <w:rPr>
          <w:rFonts w:asciiTheme="minorHAnsi" w:hAnsiTheme="minorHAnsi" w:cstheme="minorHAnsi"/>
          <w:color w:val="000000"/>
          <w:sz w:val="20"/>
          <w:szCs w:val="20"/>
        </w:rPr>
        <w:t xml:space="preserve">and </w:t>
      </w:r>
      <w:r w:rsidRPr="0068570E">
        <w:rPr>
          <w:rFonts w:asciiTheme="minorHAnsi" w:hAnsiTheme="minorHAnsi" w:cstheme="minorHAnsi"/>
          <w:color w:val="000000"/>
          <w:sz w:val="20"/>
          <w:szCs w:val="20"/>
        </w:rPr>
        <w:t>Procedure.</w:t>
      </w:r>
    </w:p>
    <w:p w14:paraId="3D39594A" w14:textId="77777777" w:rsidR="00766D3F" w:rsidRPr="0068570E" w:rsidRDefault="00766D3F" w:rsidP="006662CD">
      <w:pPr>
        <w:spacing w:after="200" w:line="276" w:lineRule="auto"/>
        <w:rPr>
          <w:rFonts w:asciiTheme="minorHAnsi" w:hAnsiTheme="minorHAnsi" w:cstheme="minorHAnsi"/>
          <w:color w:val="000000"/>
          <w:sz w:val="20"/>
          <w:szCs w:val="20"/>
        </w:rPr>
      </w:pPr>
      <w:r w:rsidRPr="0068570E">
        <w:rPr>
          <w:rFonts w:asciiTheme="minorHAnsi" w:hAnsiTheme="minorHAnsi" w:cstheme="minorHAnsi"/>
          <w:color w:val="000000"/>
          <w:sz w:val="20"/>
          <w:szCs w:val="20"/>
        </w:rPr>
        <w:t>This Charter is to be reviewed on a</w:t>
      </w:r>
      <w:r w:rsidR="00F96841" w:rsidRPr="0068570E">
        <w:rPr>
          <w:rFonts w:asciiTheme="minorHAnsi" w:hAnsiTheme="minorHAnsi" w:cstheme="minorHAnsi"/>
          <w:color w:val="000000"/>
          <w:sz w:val="20"/>
          <w:szCs w:val="20"/>
        </w:rPr>
        <w:t>n annual basis by the Director Risk Management</w:t>
      </w:r>
      <w:r w:rsidRPr="0068570E">
        <w:rPr>
          <w:rFonts w:asciiTheme="minorHAnsi" w:hAnsiTheme="minorHAnsi" w:cstheme="minorHAnsi"/>
          <w:color w:val="000000"/>
          <w:sz w:val="20"/>
          <w:szCs w:val="20"/>
        </w:rPr>
        <w:t xml:space="preserve"> and submitted for </w:t>
      </w:r>
      <w:r w:rsidR="0010639D" w:rsidRPr="0068570E">
        <w:rPr>
          <w:rFonts w:asciiTheme="minorHAnsi" w:hAnsiTheme="minorHAnsi" w:cstheme="minorHAnsi"/>
          <w:color w:val="000000"/>
          <w:sz w:val="20"/>
          <w:szCs w:val="20"/>
        </w:rPr>
        <w:t>endorsement and approval</w:t>
      </w:r>
      <w:r w:rsidR="00F96841" w:rsidRPr="0068570E">
        <w:rPr>
          <w:rFonts w:asciiTheme="minorHAnsi" w:hAnsiTheme="minorHAnsi" w:cstheme="minorHAnsi"/>
          <w:color w:val="000000"/>
          <w:sz w:val="20"/>
          <w:szCs w:val="20"/>
        </w:rPr>
        <w:t xml:space="preserve"> by</w:t>
      </w:r>
      <w:r w:rsidRPr="0068570E">
        <w:rPr>
          <w:rFonts w:asciiTheme="minorHAnsi" w:hAnsiTheme="minorHAnsi" w:cstheme="minorHAnsi"/>
          <w:color w:val="000000"/>
          <w:sz w:val="20"/>
          <w:szCs w:val="20"/>
        </w:rPr>
        <w:t xml:space="preserve"> the </w:t>
      </w:r>
      <w:r w:rsidRPr="0068570E">
        <w:rPr>
          <w:rFonts w:asciiTheme="minorHAnsi" w:hAnsiTheme="minorHAnsi" w:cstheme="minorHAnsi"/>
          <w:sz w:val="20"/>
          <w:szCs w:val="20"/>
        </w:rPr>
        <w:t>CGARC</w:t>
      </w:r>
      <w:r w:rsidRPr="0068570E">
        <w:rPr>
          <w:rFonts w:asciiTheme="minorHAnsi" w:hAnsiTheme="minorHAnsi" w:cstheme="minorHAnsi"/>
          <w:color w:val="000000"/>
          <w:sz w:val="20"/>
          <w:szCs w:val="20"/>
        </w:rPr>
        <w:t>.</w:t>
      </w:r>
    </w:p>
    <w:p w14:paraId="5C2334A3" w14:textId="77777777" w:rsidR="007A25BB" w:rsidRPr="006662CD" w:rsidRDefault="00651683" w:rsidP="006662CD">
      <w:pPr>
        <w:spacing w:after="200" w:line="276" w:lineRule="auto"/>
        <w:ind w:left="357" w:hanging="357"/>
        <w:rPr>
          <w:rFonts w:asciiTheme="minorHAnsi" w:hAnsiTheme="minorHAnsi" w:cstheme="minorHAnsi"/>
          <w:sz w:val="30"/>
          <w:szCs w:val="30"/>
        </w:rPr>
      </w:pPr>
      <w:r w:rsidRPr="006662CD">
        <w:rPr>
          <w:rFonts w:asciiTheme="minorHAnsi" w:hAnsiTheme="minorHAnsi" w:cstheme="minorHAnsi"/>
          <w:b/>
          <w:bCs/>
          <w:sz w:val="30"/>
          <w:szCs w:val="30"/>
        </w:rPr>
        <w:t>2</w:t>
      </w:r>
      <w:r w:rsidR="007A25BB" w:rsidRPr="006662CD">
        <w:rPr>
          <w:rFonts w:asciiTheme="minorHAnsi" w:hAnsiTheme="minorHAnsi" w:cstheme="minorHAnsi"/>
          <w:b/>
          <w:bCs/>
          <w:sz w:val="30"/>
          <w:szCs w:val="30"/>
        </w:rPr>
        <w:tab/>
        <w:t>Role</w:t>
      </w:r>
    </w:p>
    <w:p w14:paraId="4DA7395D" w14:textId="77777777" w:rsidR="00651683" w:rsidRPr="0068570E" w:rsidRDefault="007A25BB" w:rsidP="006662CD">
      <w:pPr>
        <w:spacing w:after="200" w:line="276" w:lineRule="auto"/>
        <w:rPr>
          <w:rFonts w:asciiTheme="minorHAnsi" w:hAnsiTheme="minorHAnsi" w:cstheme="minorHAnsi"/>
          <w:strike/>
          <w:sz w:val="20"/>
          <w:szCs w:val="20"/>
        </w:rPr>
      </w:pPr>
      <w:r w:rsidRPr="0068570E">
        <w:rPr>
          <w:rFonts w:asciiTheme="minorHAnsi" w:hAnsiTheme="minorHAnsi" w:cstheme="minorHAnsi"/>
          <w:color w:val="000000"/>
          <w:sz w:val="20"/>
          <w:szCs w:val="20"/>
        </w:rPr>
        <w:t xml:space="preserve">Internal Auditing is an independent and objective assurance and consulting activity that is guided by a philosophy of adding value to improve the operations of La Trobe </w:t>
      </w:r>
      <w:r w:rsidR="00C62ACD" w:rsidRPr="0068570E">
        <w:rPr>
          <w:rFonts w:asciiTheme="minorHAnsi" w:hAnsiTheme="minorHAnsi" w:cstheme="minorHAnsi"/>
          <w:color w:val="000000"/>
          <w:sz w:val="20"/>
          <w:szCs w:val="20"/>
        </w:rPr>
        <w:t>University. I</w:t>
      </w:r>
      <w:r w:rsidRPr="0068570E">
        <w:rPr>
          <w:rFonts w:asciiTheme="minorHAnsi" w:hAnsiTheme="minorHAnsi" w:cstheme="minorHAnsi"/>
          <w:color w:val="000000"/>
          <w:sz w:val="20"/>
          <w:szCs w:val="20"/>
        </w:rPr>
        <w:t>t assists the University in accomplishing its objectives by bringing a systematic and disciplined approach to evaluate and improve the effectiveness of the organization’s risk management, control, and governance processes.</w:t>
      </w:r>
      <w:r w:rsidRPr="0068570E">
        <w:rPr>
          <w:rFonts w:asciiTheme="minorHAnsi" w:hAnsiTheme="minorHAnsi" w:cstheme="minorHAnsi"/>
          <w:strike/>
          <w:sz w:val="20"/>
          <w:szCs w:val="20"/>
        </w:rPr>
        <w:t xml:space="preserve"> </w:t>
      </w:r>
    </w:p>
    <w:p w14:paraId="2350910F" w14:textId="77777777" w:rsidR="009B7EDD" w:rsidRPr="006662CD" w:rsidRDefault="00651683" w:rsidP="006662CD">
      <w:pPr>
        <w:spacing w:after="200" w:line="276" w:lineRule="auto"/>
        <w:ind w:left="357" w:hanging="357"/>
        <w:rPr>
          <w:rFonts w:asciiTheme="minorHAnsi" w:hAnsiTheme="minorHAnsi" w:cstheme="minorHAnsi"/>
          <w:sz w:val="30"/>
          <w:szCs w:val="30"/>
        </w:rPr>
      </w:pPr>
      <w:r w:rsidRPr="006662CD">
        <w:rPr>
          <w:rFonts w:asciiTheme="minorHAnsi" w:hAnsiTheme="minorHAnsi" w:cstheme="minorHAnsi"/>
          <w:b/>
          <w:bCs/>
          <w:sz w:val="30"/>
          <w:szCs w:val="30"/>
        </w:rPr>
        <w:t>3</w:t>
      </w:r>
      <w:r w:rsidR="009B7EDD" w:rsidRPr="006662CD">
        <w:rPr>
          <w:rFonts w:asciiTheme="minorHAnsi" w:hAnsiTheme="minorHAnsi" w:cstheme="minorHAnsi"/>
          <w:b/>
          <w:bCs/>
          <w:sz w:val="30"/>
          <w:szCs w:val="30"/>
        </w:rPr>
        <w:tab/>
        <w:t xml:space="preserve">Internal Audit Resourcing </w:t>
      </w:r>
    </w:p>
    <w:p w14:paraId="64D9B1FB" w14:textId="77777777" w:rsidR="00750BAA" w:rsidRPr="0068570E" w:rsidRDefault="00750BAA" w:rsidP="006662CD">
      <w:pPr>
        <w:spacing w:after="200" w:line="276" w:lineRule="auto"/>
        <w:rPr>
          <w:rFonts w:asciiTheme="minorHAnsi" w:hAnsiTheme="minorHAnsi" w:cstheme="minorHAnsi"/>
          <w:color w:val="000000"/>
          <w:sz w:val="20"/>
          <w:szCs w:val="20"/>
        </w:rPr>
      </w:pPr>
      <w:r w:rsidRPr="0068570E">
        <w:rPr>
          <w:rFonts w:asciiTheme="minorHAnsi" w:hAnsiTheme="minorHAnsi" w:cstheme="minorHAnsi"/>
          <w:color w:val="000000"/>
          <w:sz w:val="20"/>
          <w:szCs w:val="20"/>
        </w:rPr>
        <w:t xml:space="preserve">The </w:t>
      </w:r>
      <w:r w:rsidR="00651683" w:rsidRPr="0068570E">
        <w:rPr>
          <w:rFonts w:asciiTheme="minorHAnsi" w:hAnsiTheme="minorHAnsi" w:cstheme="minorHAnsi"/>
          <w:color w:val="000000"/>
          <w:sz w:val="20"/>
          <w:szCs w:val="20"/>
        </w:rPr>
        <w:t>Director Risk Management manages the overall Internal Audit function</w:t>
      </w:r>
      <w:r w:rsidRPr="0068570E">
        <w:rPr>
          <w:rFonts w:asciiTheme="minorHAnsi" w:hAnsiTheme="minorHAnsi" w:cstheme="minorHAnsi"/>
          <w:color w:val="000000"/>
          <w:sz w:val="20"/>
          <w:szCs w:val="20"/>
        </w:rPr>
        <w:t>. The Internal Audit function may be resourced through an appropriate combination of the following:</w:t>
      </w:r>
    </w:p>
    <w:p w14:paraId="0E8DD99B" w14:textId="77777777" w:rsidR="00750BAA" w:rsidRPr="0068570E" w:rsidRDefault="00651683" w:rsidP="006662CD">
      <w:pPr>
        <w:pStyle w:val="ListParagraph"/>
        <w:numPr>
          <w:ilvl w:val="0"/>
          <w:numId w:val="7"/>
        </w:numPr>
        <w:spacing w:after="200" w:line="276" w:lineRule="auto"/>
        <w:ind w:left="714" w:hanging="357"/>
        <w:contextualSpacing w:val="0"/>
        <w:rPr>
          <w:rFonts w:asciiTheme="minorHAnsi" w:hAnsiTheme="minorHAnsi" w:cstheme="minorHAnsi"/>
          <w:color w:val="000000"/>
          <w:sz w:val="20"/>
          <w:szCs w:val="20"/>
        </w:rPr>
      </w:pPr>
      <w:r w:rsidRPr="0068570E">
        <w:rPr>
          <w:rFonts w:asciiTheme="minorHAnsi" w:hAnsiTheme="minorHAnsi" w:cstheme="minorHAnsi"/>
          <w:color w:val="000000"/>
          <w:sz w:val="20"/>
          <w:szCs w:val="20"/>
        </w:rPr>
        <w:t>In-house</w:t>
      </w:r>
      <w:r w:rsidR="00750BAA" w:rsidRPr="0068570E">
        <w:rPr>
          <w:rFonts w:asciiTheme="minorHAnsi" w:hAnsiTheme="minorHAnsi" w:cstheme="minorHAnsi"/>
          <w:color w:val="000000"/>
          <w:sz w:val="20"/>
          <w:szCs w:val="20"/>
        </w:rPr>
        <w:t xml:space="preserve"> internal audit staff employed directly by the University</w:t>
      </w:r>
      <w:r w:rsidRPr="0068570E">
        <w:rPr>
          <w:rFonts w:asciiTheme="minorHAnsi" w:hAnsiTheme="minorHAnsi" w:cstheme="minorHAnsi"/>
          <w:color w:val="000000"/>
          <w:sz w:val="20"/>
          <w:szCs w:val="20"/>
        </w:rPr>
        <w:t>;</w:t>
      </w:r>
    </w:p>
    <w:p w14:paraId="72E1C69A" w14:textId="77777777" w:rsidR="00750BAA" w:rsidRPr="0068570E" w:rsidRDefault="00651683" w:rsidP="006662CD">
      <w:pPr>
        <w:pStyle w:val="ListParagraph"/>
        <w:numPr>
          <w:ilvl w:val="0"/>
          <w:numId w:val="7"/>
        </w:numPr>
        <w:spacing w:after="200" w:line="276" w:lineRule="auto"/>
        <w:ind w:left="714" w:hanging="357"/>
        <w:contextualSpacing w:val="0"/>
        <w:rPr>
          <w:rFonts w:asciiTheme="minorHAnsi" w:hAnsiTheme="minorHAnsi" w:cstheme="minorHAnsi"/>
          <w:color w:val="000000"/>
          <w:sz w:val="20"/>
          <w:szCs w:val="20"/>
        </w:rPr>
      </w:pPr>
      <w:r w:rsidRPr="0068570E">
        <w:rPr>
          <w:rFonts w:asciiTheme="minorHAnsi" w:hAnsiTheme="minorHAnsi" w:cstheme="minorHAnsi"/>
          <w:color w:val="000000"/>
          <w:sz w:val="20"/>
          <w:szCs w:val="20"/>
        </w:rPr>
        <w:t>Internal</w:t>
      </w:r>
      <w:r w:rsidR="00750BAA" w:rsidRPr="0068570E">
        <w:rPr>
          <w:rFonts w:asciiTheme="minorHAnsi" w:hAnsiTheme="minorHAnsi" w:cstheme="minorHAnsi"/>
          <w:color w:val="000000"/>
          <w:sz w:val="20"/>
          <w:szCs w:val="20"/>
        </w:rPr>
        <w:t xml:space="preserve"> audit staff provided by an external organisation under a co-source provider</w:t>
      </w:r>
      <w:r w:rsidRPr="0068570E">
        <w:rPr>
          <w:rFonts w:asciiTheme="minorHAnsi" w:hAnsiTheme="minorHAnsi" w:cstheme="minorHAnsi"/>
          <w:color w:val="000000"/>
          <w:sz w:val="20"/>
          <w:szCs w:val="20"/>
        </w:rPr>
        <w:t xml:space="preserve"> arrangement which is actively managed by the Risk and Assurance Advisor;</w:t>
      </w:r>
    </w:p>
    <w:p w14:paraId="5A8D0418" w14:textId="77777777" w:rsidR="00750BAA" w:rsidRPr="0068570E" w:rsidRDefault="00651683" w:rsidP="006662CD">
      <w:pPr>
        <w:pStyle w:val="ListParagraph"/>
        <w:numPr>
          <w:ilvl w:val="0"/>
          <w:numId w:val="7"/>
        </w:numPr>
        <w:spacing w:after="200" w:line="276" w:lineRule="auto"/>
        <w:ind w:left="714" w:hanging="357"/>
        <w:contextualSpacing w:val="0"/>
        <w:rPr>
          <w:rFonts w:asciiTheme="minorHAnsi" w:hAnsiTheme="minorHAnsi" w:cstheme="minorHAnsi"/>
          <w:color w:val="000000"/>
          <w:sz w:val="20"/>
          <w:szCs w:val="20"/>
        </w:rPr>
      </w:pPr>
      <w:r w:rsidRPr="0068570E">
        <w:rPr>
          <w:rFonts w:asciiTheme="minorHAnsi" w:hAnsiTheme="minorHAnsi" w:cstheme="minorHAnsi"/>
          <w:color w:val="000000"/>
          <w:sz w:val="20"/>
          <w:szCs w:val="20"/>
        </w:rPr>
        <w:t>Staff</w:t>
      </w:r>
      <w:r w:rsidR="00750BAA" w:rsidRPr="0068570E">
        <w:rPr>
          <w:rFonts w:asciiTheme="minorHAnsi" w:hAnsiTheme="minorHAnsi" w:cstheme="minorHAnsi"/>
          <w:color w:val="000000"/>
          <w:sz w:val="20"/>
          <w:szCs w:val="20"/>
        </w:rPr>
        <w:t xml:space="preserve"> from another external organisation engaged by Internal Audit to provide specific internal</w:t>
      </w:r>
      <w:r w:rsidRPr="0068570E">
        <w:rPr>
          <w:rFonts w:asciiTheme="minorHAnsi" w:hAnsiTheme="minorHAnsi" w:cstheme="minorHAnsi"/>
          <w:color w:val="000000"/>
          <w:sz w:val="20"/>
          <w:szCs w:val="20"/>
        </w:rPr>
        <w:t xml:space="preserve"> </w:t>
      </w:r>
      <w:r w:rsidR="00750BAA" w:rsidRPr="0068570E">
        <w:rPr>
          <w:rFonts w:asciiTheme="minorHAnsi" w:hAnsiTheme="minorHAnsi" w:cstheme="minorHAnsi"/>
          <w:color w:val="000000"/>
          <w:sz w:val="20"/>
          <w:szCs w:val="20"/>
        </w:rPr>
        <w:t>audit services</w:t>
      </w:r>
      <w:r w:rsidRPr="0068570E">
        <w:rPr>
          <w:rFonts w:asciiTheme="minorHAnsi" w:hAnsiTheme="minorHAnsi" w:cstheme="minorHAnsi"/>
          <w:color w:val="000000"/>
          <w:sz w:val="20"/>
          <w:szCs w:val="20"/>
        </w:rPr>
        <w:t xml:space="preserve"> in areas where </w:t>
      </w:r>
      <w:r w:rsidR="00E25A1D" w:rsidRPr="0068570E">
        <w:rPr>
          <w:rFonts w:asciiTheme="minorHAnsi" w:hAnsiTheme="minorHAnsi" w:cstheme="minorHAnsi"/>
          <w:color w:val="000000"/>
          <w:sz w:val="20"/>
          <w:szCs w:val="20"/>
        </w:rPr>
        <w:t>it has been deemed not feasible to be undertaken by in-house or co-source provider resources</w:t>
      </w:r>
      <w:r w:rsidR="004D3F7F" w:rsidRPr="0068570E">
        <w:rPr>
          <w:rFonts w:asciiTheme="minorHAnsi" w:hAnsiTheme="minorHAnsi" w:cstheme="minorHAnsi"/>
          <w:color w:val="000000"/>
          <w:sz w:val="20"/>
          <w:szCs w:val="20"/>
        </w:rPr>
        <w:t xml:space="preserve"> (e.g., </w:t>
      </w:r>
      <w:r w:rsidR="00750BAA" w:rsidRPr="0068570E">
        <w:rPr>
          <w:rFonts w:asciiTheme="minorHAnsi" w:hAnsiTheme="minorHAnsi" w:cstheme="minorHAnsi"/>
          <w:color w:val="000000"/>
          <w:sz w:val="20"/>
          <w:szCs w:val="20"/>
        </w:rPr>
        <w:t>where specialised, technical</w:t>
      </w:r>
      <w:r w:rsidRPr="0068570E">
        <w:rPr>
          <w:rFonts w:asciiTheme="minorHAnsi" w:hAnsiTheme="minorHAnsi" w:cstheme="minorHAnsi"/>
          <w:color w:val="000000"/>
          <w:sz w:val="20"/>
          <w:szCs w:val="20"/>
        </w:rPr>
        <w:t xml:space="preserve"> </w:t>
      </w:r>
      <w:r w:rsidR="00750BAA" w:rsidRPr="0068570E">
        <w:rPr>
          <w:rFonts w:asciiTheme="minorHAnsi" w:hAnsiTheme="minorHAnsi" w:cstheme="minorHAnsi"/>
          <w:color w:val="000000"/>
          <w:sz w:val="20"/>
          <w:szCs w:val="20"/>
        </w:rPr>
        <w:t>knowledge and expertise is required).</w:t>
      </w:r>
    </w:p>
    <w:p w14:paraId="6EE2FA30" w14:textId="77777777" w:rsidR="0035177D" w:rsidRPr="006662CD" w:rsidRDefault="00750BAA" w:rsidP="006662CD">
      <w:pPr>
        <w:spacing w:after="200" w:line="276" w:lineRule="auto"/>
        <w:rPr>
          <w:rFonts w:asciiTheme="minorHAnsi" w:hAnsiTheme="minorHAnsi" w:cstheme="minorHAnsi"/>
          <w:color w:val="000000"/>
          <w:sz w:val="20"/>
          <w:szCs w:val="20"/>
        </w:rPr>
      </w:pPr>
      <w:r w:rsidRPr="0068570E">
        <w:rPr>
          <w:rFonts w:asciiTheme="minorHAnsi" w:hAnsiTheme="minorHAnsi" w:cstheme="minorHAnsi"/>
          <w:color w:val="000000"/>
          <w:sz w:val="20"/>
          <w:szCs w:val="20"/>
        </w:rPr>
        <w:t>In this Charter, unless otherwise specified, reference to the Internal Audit function and internal audi</w:t>
      </w:r>
      <w:r w:rsidR="004C4EEF" w:rsidRPr="0068570E">
        <w:rPr>
          <w:rFonts w:asciiTheme="minorHAnsi" w:hAnsiTheme="minorHAnsi" w:cstheme="minorHAnsi"/>
          <w:color w:val="000000"/>
          <w:sz w:val="20"/>
          <w:szCs w:val="20"/>
        </w:rPr>
        <w:t xml:space="preserve">tors </w:t>
      </w:r>
      <w:r w:rsidRPr="0068570E">
        <w:rPr>
          <w:rFonts w:asciiTheme="minorHAnsi" w:hAnsiTheme="minorHAnsi" w:cstheme="minorHAnsi"/>
          <w:color w:val="000000"/>
          <w:sz w:val="20"/>
          <w:szCs w:val="20"/>
        </w:rPr>
        <w:t>encompasses all of the above-mentioned internal audit resources.</w:t>
      </w:r>
    </w:p>
    <w:p w14:paraId="14A4EBBE" w14:textId="77777777" w:rsidR="007A25BB" w:rsidRPr="006662CD" w:rsidRDefault="004016B8" w:rsidP="006662CD">
      <w:pPr>
        <w:spacing w:after="200" w:line="276" w:lineRule="auto"/>
        <w:ind w:left="357" w:hanging="357"/>
        <w:rPr>
          <w:rFonts w:asciiTheme="minorHAnsi" w:hAnsiTheme="minorHAnsi" w:cstheme="minorHAnsi"/>
          <w:b/>
          <w:bCs/>
          <w:sz w:val="30"/>
          <w:szCs w:val="30"/>
        </w:rPr>
      </w:pPr>
      <w:r w:rsidRPr="006662CD">
        <w:rPr>
          <w:rFonts w:asciiTheme="minorHAnsi" w:hAnsiTheme="minorHAnsi" w:cstheme="minorHAnsi"/>
          <w:b/>
          <w:bCs/>
          <w:sz w:val="30"/>
          <w:szCs w:val="30"/>
        </w:rPr>
        <w:t>4</w:t>
      </w:r>
      <w:r w:rsidR="007A25BB" w:rsidRPr="006662CD">
        <w:rPr>
          <w:rFonts w:asciiTheme="minorHAnsi" w:hAnsiTheme="minorHAnsi" w:cstheme="minorHAnsi"/>
          <w:b/>
          <w:bCs/>
          <w:sz w:val="30"/>
          <w:szCs w:val="30"/>
        </w:rPr>
        <w:tab/>
        <w:t>Independence</w:t>
      </w:r>
    </w:p>
    <w:p w14:paraId="15F48582" w14:textId="77777777" w:rsidR="007A25BB" w:rsidRPr="0068570E" w:rsidRDefault="007A25BB" w:rsidP="006662CD">
      <w:pPr>
        <w:spacing w:after="200" w:line="276" w:lineRule="auto"/>
        <w:rPr>
          <w:rFonts w:asciiTheme="minorHAnsi" w:hAnsiTheme="minorHAnsi" w:cstheme="minorHAnsi"/>
          <w:sz w:val="20"/>
          <w:szCs w:val="20"/>
        </w:rPr>
      </w:pPr>
      <w:r w:rsidRPr="0068570E">
        <w:rPr>
          <w:rFonts w:asciiTheme="minorHAnsi" w:hAnsiTheme="minorHAnsi" w:cstheme="minorHAnsi"/>
          <w:bCs/>
          <w:sz w:val="20"/>
          <w:szCs w:val="20"/>
        </w:rPr>
        <w:t xml:space="preserve">The </w:t>
      </w:r>
      <w:r w:rsidR="004C4EEF" w:rsidRPr="0068570E">
        <w:rPr>
          <w:rFonts w:asciiTheme="minorHAnsi" w:hAnsiTheme="minorHAnsi" w:cstheme="minorHAnsi"/>
          <w:bCs/>
          <w:sz w:val="20"/>
          <w:szCs w:val="20"/>
        </w:rPr>
        <w:t>Internal Audit Function</w:t>
      </w:r>
      <w:r w:rsidRPr="0068570E">
        <w:rPr>
          <w:rFonts w:asciiTheme="minorHAnsi" w:hAnsiTheme="minorHAnsi" w:cstheme="minorHAnsi"/>
          <w:bCs/>
          <w:sz w:val="20"/>
          <w:szCs w:val="20"/>
        </w:rPr>
        <w:t xml:space="preserve"> </w:t>
      </w:r>
      <w:r w:rsidR="00F74A03" w:rsidRPr="0068570E">
        <w:rPr>
          <w:rFonts w:asciiTheme="minorHAnsi" w:hAnsiTheme="minorHAnsi" w:cstheme="minorHAnsi"/>
          <w:bCs/>
          <w:sz w:val="20"/>
          <w:szCs w:val="20"/>
        </w:rPr>
        <w:t>maintains its</w:t>
      </w:r>
      <w:r w:rsidRPr="0068570E">
        <w:rPr>
          <w:rFonts w:asciiTheme="minorHAnsi" w:hAnsiTheme="minorHAnsi" w:cstheme="minorHAnsi"/>
          <w:bCs/>
          <w:sz w:val="20"/>
          <w:szCs w:val="20"/>
        </w:rPr>
        <w:t xml:space="preserve"> independent status within the University by:</w:t>
      </w:r>
    </w:p>
    <w:p w14:paraId="60B28984" w14:textId="77777777" w:rsidR="007A25BB" w:rsidRPr="0068570E" w:rsidRDefault="007A25BB" w:rsidP="006662CD">
      <w:pPr>
        <w:pStyle w:val="Level1"/>
        <w:numPr>
          <w:ilvl w:val="0"/>
          <w:numId w:val="3"/>
        </w:numPr>
        <w:tabs>
          <w:tab w:val="clear" w:pos="360"/>
          <w:tab w:val="left" w:pos="-1440"/>
          <w:tab w:val="num" w:pos="1080"/>
        </w:tabs>
        <w:spacing w:after="200" w:line="276" w:lineRule="auto"/>
        <w:ind w:left="714" w:hanging="357"/>
        <w:rPr>
          <w:rFonts w:asciiTheme="minorHAnsi" w:hAnsiTheme="minorHAnsi" w:cstheme="minorHAnsi"/>
          <w:sz w:val="20"/>
          <w:szCs w:val="20"/>
        </w:rPr>
      </w:pPr>
      <w:r w:rsidRPr="0068570E">
        <w:rPr>
          <w:rFonts w:asciiTheme="minorHAnsi" w:hAnsiTheme="minorHAnsi" w:cstheme="minorHAnsi"/>
          <w:sz w:val="20"/>
          <w:szCs w:val="20"/>
        </w:rPr>
        <w:t xml:space="preserve">the </w:t>
      </w:r>
      <w:r w:rsidR="009C7BA1" w:rsidRPr="0068570E">
        <w:rPr>
          <w:rFonts w:asciiTheme="minorHAnsi" w:hAnsiTheme="minorHAnsi" w:cstheme="minorHAnsi"/>
          <w:sz w:val="20"/>
          <w:szCs w:val="20"/>
        </w:rPr>
        <w:t>Risk and Assurance Advisor</w:t>
      </w:r>
      <w:r w:rsidRPr="0068570E">
        <w:rPr>
          <w:rFonts w:asciiTheme="minorHAnsi" w:hAnsiTheme="minorHAnsi" w:cstheme="minorHAnsi"/>
          <w:sz w:val="20"/>
          <w:szCs w:val="20"/>
        </w:rPr>
        <w:t xml:space="preserve"> reporting directly to the Director Risk Management</w:t>
      </w:r>
      <w:r w:rsidR="0035177D" w:rsidRPr="0068570E">
        <w:rPr>
          <w:rFonts w:asciiTheme="minorHAnsi" w:hAnsiTheme="minorHAnsi" w:cstheme="minorHAnsi"/>
          <w:sz w:val="20"/>
          <w:szCs w:val="20"/>
        </w:rPr>
        <w:t>;</w:t>
      </w:r>
    </w:p>
    <w:p w14:paraId="3C527D1F" w14:textId="77777777" w:rsidR="007A25BB" w:rsidRPr="0068570E" w:rsidRDefault="007A25BB" w:rsidP="006662CD">
      <w:pPr>
        <w:pStyle w:val="Level1"/>
        <w:numPr>
          <w:ilvl w:val="0"/>
          <w:numId w:val="3"/>
        </w:numPr>
        <w:tabs>
          <w:tab w:val="clear" w:pos="360"/>
          <w:tab w:val="left" w:pos="-1440"/>
          <w:tab w:val="num" w:pos="1080"/>
        </w:tabs>
        <w:spacing w:after="200" w:line="276" w:lineRule="auto"/>
        <w:ind w:left="714" w:hanging="357"/>
        <w:rPr>
          <w:rFonts w:asciiTheme="minorHAnsi" w:hAnsiTheme="minorHAnsi" w:cstheme="minorHAnsi"/>
          <w:sz w:val="20"/>
          <w:szCs w:val="20"/>
        </w:rPr>
      </w:pPr>
      <w:r w:rsidRPr="0068570E">
        <w:rPr>
          <w:rFonts w:asciiTheme="minorHAnsi" w:hAnsiTheme="minorHAnsi" w:cstheme="minorHAnsi"/>
          <w:sz w:val="20"/>
          <w:szCs w:val="20"/>
        </w:rPr>
        <w:t xml:space="preserve">the Director Risk Management being functionally responsible to the </w:t>
      </w:r>
      <w:r w:rsidR="00C62ACD" w:rsidRPr="0068570E">
        <w:rPr>
          <w:rFonts w:asciiTheme="minorHAnsi" w:hAnsiTheme="minorHAnsi" w:cstheme="minorHAnsi"/>
          <w:sz w:val="20"/>
          <w:szCs w:val="20"/>
        </w:rPr>
        <w:t xml:space="preserve">CGARC </w:t>
      </w:r>
      <w:r w:rsidRPr="0068570E">
        <w:rPr>
          <w:rFonts w:asciiTheme="minorHAnsi" w:hAnsiTheme="minorHAnsi" w:cstheme="minorHAnsi"/>
          <w:sz w:val="20"/>
          <w:szCs w:val="20"/>
        </w:rPr>
        <w:t>and administratively responsible to the</w:t>
      </w:r>
      <w:r w:rsidR="000F31F6" w:rsidRPr="0068570E">
        <w:rPr>
          <w:rFonts w:asciiTheme="minorHAnsi" w:hAnsiTheme="minorHAnsi" w:cstheme="minorHAnsi"/>
          <w:sz w:val="20"/>
          <w:szCs w:val="20"/>
        </w:rPr>
        <w:t xml:space="preserve"> Executive Director Planning and Governance</w:t>
      </w:r>
      <w:r w:rsidR="0035177D" w:rsidRPr="0068570E">
        <w:rPr>
          <w:rFonts w:asciiTheme="minorHAnsi" w:hAnsiTheme="minorHAnsi" w:cstheme="minorHAnsi"/>
          <w:sz w:val="20"/>
          <w:szCs w:val="20"/>
        </w:rPr>
        <w:t>;</w:t>
      </w:r>
    </w:p>
    <w:p w14:paraId="4396E4E1" w14:textId="77777777" w:rsidR="00323F60" w:rsidRPr="0068570E" w:rsidRDefault="00323F60" w:rsidP="006662CD">
      <w:pPr>
        <w:pStyle w:val="Level1"/>
        <w:numPr>
          <w:ilvl w:val="0"/>
          <w:numId w:val="3"/>
        </w:numPr>
        <w:tabs>
          <w:tab w:val="clear" w:pos="360"/>
          <w:tab w:val="left" w:pos="-1440"/>
          <w:tab w:val="num" w:pos="1080"/>
        </w:tabs>
        <w:spacing w:after="200" w:line="276" w:lineRule="auto"/>
        <w:ind w:left="714" w:hanging="357"/>
        <w:rPr>
          <w:rFonts w:asciiTheme="minorHAnsi" w:hAnsiTheme="minorHAnsi" w:cstheme="minorHAnsi"/>
          <w:sz w:val="20"/>
          <w:szCs w:val="20"/>
        </w:rPr>
      </w:pPr>
      <w:r w:rsidRPr="0068570E">
        <w:rPr>
          <w:rFonts w:asciiTheme="minorHAnsi" w:hAnsiTheme="minorHAnsi" w:cstheme="minorHAnsi"/>
          <w:sz w:val="20"/>
          <w:szCs w:val="20"/>
        </w:rPr>
        <w:t xml:space="preserve">the external co-source provider being administratively responsible to the Director Risk Management and is functionally responsible to the CGARC; and </w:t>
      </w:r>
    </w:p>
    <w:p w14:paraId="0ED764AE" w14:textId="77777777" w:rsidR="0035177D" w:rsidRPr="006662CD" w:rsidRDefault="007A25BB" w:rsidP="006662CD">
      <w:pPr>
        <w:pStyle w:val="Level1"/>
        <w:numPr>
          <w:ilvl w:val="0"/>
          <w:numId w:val="3"/>
        </w:numPr>
        <w:tabs>
          <w:tab w:val="clear" w:pos="360"/>
          <w:tab w:val="left" w:pos="-1440"/>
          <w:tab w:val="num" w:pos="1080"/>
        </w:tabs>
        <w:spacing w:after="200" w:line="276" w:lineRule="auto"/>
        <w:ind w:left="714" w:hanging="357"/>
        <w:rPr>
          <w:rFonts w:asciiTheme="minorHAnsi" w:hAnsiTheme="minorHAnsi" w:cstheme="minorHAnsi"/>
          <w:sz w:val="20"/>
          <w:szCs w:val="20"/>
        </w:rPr>
      </w:pPr>
      <w:r w:rsidRPr="0068570E">
        <w:rPr>
          <w:rFonts w:asciiTheme="minorHAnsi" w:hAnsiTheme="minorHAnsi" w:cstheme="minorHAnsi"/>
          <w:sz w:val="20"/>
          <w:szCs w:val="20"/>
          <w:lang w:val="en-AU"/>
        </w:rPr>
        <w:lastRenderedPageBreak/>
        <w:t>internal auditors having no direct operational responsibility or authority over any o</w:t>
      </w:r>
      <w:r w:rsidR="00C62ACD" w:rsidRPr="0068570E">
        <w:rPr>
          <w:rFonts w:asciiTheme="minorHAnsi" w:hAnsiTheme="minorHAnsi" w:cstheme="minorHAnsi"/>
          <w:sz w:val="20"/>
          <w:szCs w:val="20"/>
          <w:lang w:val="en-AU"/>
        </w:rPr>
        <w:t xml:space="preserve">f the activities they review. </w:t>
      </w:r>
      <w:r w:rsidRPr="0068570E">
        <w:rPr>
          <w:rFonts w:asciiTheme="minorHAnsi" w:hAnsiTheme="minorHAnsi" w:cstheme="minorHAnsi"/>
          <w:sz w:val="20"/>
          <w:szCs w:val="20"/>
          <w:lang w:val="en-AU"/>
        </w:rPr>
        <w:t>Accordingly, they shall not develop nor install systems or procedures, prepare records, or engage in any other activity which would normally be audited.</w:t>
      </w:r>
    </w:p>
    <w:p w14:paraId="783E31FC" w14:textId="77777777" w:rsidR="007A25BB" w:rsidRPr="006662CD" w:rsidRDefault="004016B8" w:rsidP="006662CD">
      <w:pPr>
        <w:spacing w:after="200" w:line="276" w:lineRule="auto"/>
        <w:ind w:left="357" w:hanging="357"/>
        <w:rPr>
          <w:rFonts w:asciiTheme="minorHAnsi" w:hAnsiTheme="minorHAnsi" w:cstheme="minorHAnsi"/>
          <w:b/>
          <w:bCs/>
          <w:sz w:val="30"/>
          <w:szCs w:val="30"/>
        </w:rPr>
      </w:pPr>
      <w:r w:rsidRPr="006662CD">
        <w:rPr>
          <w:rFonts w:asciiTheme="minorHAnsi" w:hAnsiTheme="minorHAnsi" w:cstheme="minorHAnsi"/>
          <w:b/>
          <w:bCs/>
          <w:sz w:val="30"/>
          <w:szCs w:val="30"/>
        </w:rPr>
        <w:t>5</w:t>
      </w:r>
      <w:r w:rsidR="007A25BB" w:rsidRPr="006662CD">
        <w:rPr>
          <w:rFonts w:asciiTheme="minorHAnsi" w:hAnsiTheme="minorHAnsi" w:cstheme="minorHAnsi"/>
          <w:b/>
          <w:bCs/>
          <w:sz w:val="30"/>
          <w:szCs w:val="30"/>
        </w:rPr>
        <w:tab/>
        <w:t>Authority</w:t>
      </w:r>
    </w:p>
    <w:p w14:paraId="05109B65" w14:textId="77777777" w:rsidR="007A25BB" w:rsidRPr="0068570E" w:rsidRDefault="007A25BB" w:rsidP="006662CD">
      <w:pPr>
        <w:spacing w:after="200" w:line="276" w:lineRule="auto"/>
        <w:rPr>
          <w:rFonts w:asciiTheme="minorHAnsi" w:hAnsiTheme="minorHAnsi" w:cstheme="minorHAnsi"/>
          <w:color w:val="000000"/>
          <w:sz w:val="20"/>
          <w:szCs w:val="20"/>
        </w:rPr>
      </w:pPr>
      <w:r w:rsidRPr="0068570E">
        <w:rPr>
          <w:rFonts w:asciiTheme="minorHAnsi" w:hAnsiTheme="minorHAnsi" w:cstheme="minorHAnsi"/>
          <w:color w:val="000000"/>
          <w:sz w:val="20"/>
          <w:szCs w:val="20"/>
        </w:rPr>
        <w:t xml:space="preserve">Authority is granted for </w:t>
      </w:r>
      <w:r w:rsidRPr="0068570E">
        <w:rPr>
          <w:rFonts w:asciiTheme="minorHAnsi" w:hAnsiTheme="minorHAnsi" w:cstheme="minorHAnsi"/>
          <w:sz w:val="20"/>
          <w:szCs w:val="20"/>
        </w:rPr>
        <w:t xml:space="preserve">the </w:t>
      </w:r>
      <w:r w:rsidR="00A8439B" w:rsidRPr="0068570E">
        <w:rPr>
          <w:rFonts w:asciiTheme="minorHAnsi" w:hAnsiTheme="minorHAnsi" w:cstheme="minorHAnsi"/>
          <w:sz w:val="20"/>
          <w:szCs w:val="20"/>
        </w:rPr>
        <w:t xml:space="preserve">staff of the </w:t>
      </w:r>
      <w:r w:rsidR="004C4EEF" w:rsidRPr="0068570E">
        <w:rPr>
          <w:rFonts w:asciiTheme="minorHAnsi" w:hAnsiTheme="minorHAnsi" w:cstheme="minorHAnsi"/>
          <w:sz w:val="20"/>
          <w:szCs w:val="20"/>
        </w:rPr>
        <w:t>Internal Audit Function</w:t>
      </w:r>
      <w:r w:rsidRPr="0068570E">
        <w:rPr>
          <w:rFonts w:asciiTheme="minorHAnsi" w:hAnsiTheme="minorHAnsi" w:cstheme="minorHAnsi"/>
          <w:sz w:val="20"/>
          <w:szCs w:val="20"/>
        </w:rPr>
        <w:t xml:space="preserve"> to:</w:t>
      </w:r>
    </w:p>
    <w:p w14:paraId="69261521" w14:textId="77777777" w:rsidR="00BC212F" w:rsidRPr="0068570E" w:rsidRDefault="00BC212F" w:rsidP="000D7182">
      <w:pPr>
        <w:numPr>
          <w:ilvl w:val="0"/>
          <w:numId w:val="6"/>
        </w:numPr>
        <w:tabs>
          <w:tab w:val="clear" w:pos="720"/>
        </w:tabs>
        <w:spacing w:after="200" w:line="276" w:lineRule="auto"/>
        <w:ind w:left="714" w:hanging="357"/>
        <w:rPr>
          <w:rFonts w:asciiTheme="minorHAnsi" w:hAnsiTheme="minorHAnsi" w:cstheme="minorHAnsi"/>
          <w:color w:val="000000"/>
          <w:sz w:val="20"/>
          <w:szCs w:val="20"/>
        </w:rPr>
      </w:pPr>
      <w:r w:rsidRPr="0068570E">
        <w:rPr>
          <w:rFonts w:asciiTheme="minorHAnsi" w:hAnsiTheme="minorHAnsi" w:cstheme="minorHAnsi"/>
          <w:color w:val="000000"/>
          <w:sz w:val="20"/>
          <w:szCs w:val="20"/>
        </w:rPr>
        <w:t xml:space="preserve">develop </w:t>
      </w:r>
      <w:r w:rsidR="00CE45D5" w:rsidRPr="0068570E">
        <w:rPr>
          <w:rFonts w:asciiTheme="minorHAnsi" w:hAnsiTheme="minorHAnsi" w:cstheme="minorHAnsi"/>
          <w:color w:val="000000"/>
          <w:sz w:val="20"/>
          <w:szCs w:val="20"/>
        </w:rPr>
        <w:t>and direct a</w:t>
      </w:r>
      <w:r w:rsidRPr="0068570E">
        <w:rPr>
          <w:rFonts w:asciiTheme="minorHAnsi" w:hAnsiTheme="minorHAnsi" w:cstheme="minorHAnsi"/>
          <w:color w:val="000000"/>
          <w:sz w:val="20"/>
          <w:szCs w:val="20"/>
        </w:rPr>
        <w:t xml:space="preserve"> comprehensive internal audit program throughout the University in collaboration with the external co-source provider;</w:t>
      </w:r>
    </w:p>
    <w:p w14:paraId="75058FF7" w14:textId="77777777" w:rsidR="007A25BB" w:rsidRPr="0068570E" w:rsidRDefault="007A25BB" w:rsidP="000D7182">
      <w:pPr>
        <w:numPr>
          <w:ilvl w:val="0"/>
          <w:numId w:val="6"/>
        </w:numPr>
        <w:tabs>
          <w:tab w:val="clear" w:pos="720"/>
        </w:tabs>
        <w:spacing w:after="200" w:line="276" w:lineRule="auto"/>
        <w:ind w:left="714" w:hanging="357"/>
        <w:rPr>
          <w:rFonts w:asciiTheme="minorHAnsi" w:hAnsiTheme="minorHAnsi" w:cstheme="minorHAnsi"/>
          <w:color w:val="000000"/>
          <w:sz w:val="20"/>
          <w:szCs w:val="20"/>
        </w:rPr>
      </w:pPr>
      <w:r w:rsidRPr="0068570E">
        <w:rPr>
          <w:rFonts w:asciiTheme="minorHAnsi" w:hAnsiTheme="minorHAnsi" w:cstheme="minorHAnsi"/>
          <w:color w:val="000000"/>
          <w:sz w:val="20"/>
          <w:szCs w:val="20"/>
        </w:rPr>
        <w:t>have the right of access to all premises of the University and the right to inspect all correspondence, files, records, accounts and all other forms held by the University as is necessary to properly perform their duties.  The right extends to the making of such copies or extracts required by audit</w:t>
      </w:r>
      <w:r w:rsidR="0022728C" w:rsidRPr="0068570E">
        <w:rPr>
          <w:rFonts w:asciiTheme="minorHAnsi" w:hAnsiTheme="minorHAnsi" w:cstheme="minorHAnsi"/>
          <w:color w:val="000000"/>
          <w:sz w:val="20"/>
          <w:szCs w:val="20"/>
        </w:rPr>
        <w:t>;</w:t>
      </w:r>
    </w:p>
    <w:p w14:paraId="7170F608" w14:textId="77777777" w:rsidR="007A25BB" w:rsidRPr="0068570E" w:rsidRDefault="007A25BB" w:rsidP="000D7182">
      <w:pPr>
        <w:numPr>
          <w:ilvl w:val="0"/>
          <w:numId w:val="6"/>
        </w:numPr>
        <w:tabs>
          <w:tab w:val="clear" w:pos="720"/>
        </w:tabs>
        <w:spacing w:after="200" w:line="276" w:lineRule="auto"/>
        <w:ind w:left="714" w:hanging="357"/>
        <w:rPr>
          <w:rFonts w:asciiTheme="minorHAnsi" w:hAnsiTheme="minorHAnsi" w:cstheme="minorHAnsi"/>
          <w:color w:val="000000"/>
          <w:sz w:val="20"/>
          <w:szCs w:val="20"/>
        </w:rPr>
      </w:pPr>
      <w:r w:rsidRPr="0068570E">
        <w:rPr>
          <w:rFonts w:asciiTheme="minorHAnsi" w:hAnsiTheme="minorHAnsi" w:cstheme="minorHAnsi"/>
          <w:color w:val="000000"/>
          <w:sz w:val="20"/>
          <w:szCs w:val="20"/>
        </w:rPr>
        <w:t xml:space="preserve">have the right to require all officers of the University and its controlled entities to supply such information, explanations and documentation as is necessary </w:t>
      </w:r>
      <w:r w:rsidR="00A8439B" w:rsidRPr="0068570E">
        <w:rPr>
          <w:rFonts w:asciiTheme="minorHAnsi" w:hAnsiTheme="minorHAnsi" w:cstheme="minorHAnsi"/>
          <w:color w:val="000000"/>
          <w:sz w:val="20"/>
          <w:szCs w:val="20"/>
        </w:rPr>
        <w:t>to perform</w:t>
      </w:r>
      <w:r w:rsidRPr="0068570E">
        <w:rPr>
          <w:rFonts w:asciiTheme="minorHAnsi" w:hAnsiTheme="minorHAnsi" w:cstheme="minorHAnsi"/>
          <w:color w:val="000000"/>
          <w:sz w:val="20"/>
          <w:szCs w:val="20"/>
        </w:rPr>
        <w:t xml:space="preserve"> their duties; </w:t>
      </w:r>
      <w:r w:rsidR="0035177D" w:rsidRPr="0068570E">
        <w:rPr>
          <w:rFonts w:asciiTheme="minorHAnsi" w:hAnsiTheme="minorHAnsi" w:cstheme="minorHAnsi"/>
          <w:color w:val="000000"/>
          <w:sz w:val="20"/>
          <w:szCs w:val="20"/>
        </w:rPr>
        <w:t>and</w:t>
      </w:r>
    </w:p>
    <w:p w14:paraId="159B8220" w14:textId="77777777" w:rsidR="007060DB" w:rsidRPr="0068570E" w:rsidRDefault="007A25BB" w:rsidP="000D7182">
      <w:pPr>
        <w:numPr>
          <w:ilvl w:val="0"/>
          <w:numId w:val="6"/>
        </w:numPr>
        <w:tabs>
          <w:tab w:val="clear" w:pos="720"/>
        </w:tabs>
        <w:spacing w:after="200" w:line="276" w:lineRule="auto"/>
        <w:ind w:left="714" w:hanging="357"/>
        <w:rPr>
          <w:rFonts w:asciiTheme="minorHAnsi" w:hAnsiTheme="minorHAnsi" w:cstheme="minorHAnsi"/>
          <w:color w:val="000000"/>
          <w:sz w:val="20"/>
          <w:szCs w:val="20"/>
        </w:rPr>
      </w:pPr>
      <w:r w:rsidRPr="0068570E">
        <w:rPr>
          <w:rFonts w:asciiTheme="minorHAnsi" w:hAnsiTheme="minorHAnsi" w:cstheme="minorHAnsi"/>
          <w:color w:val="000000"/>
          <w:sz w:val="20"/>
          <w:szCs w:val="20"/>
        </w:rPr>
        <w:t xml:space="preserve">receive every assistance from University staff whilst carrying out their duties. </w:t>
      </w:r>
    </w:p>
    <w:p w14:paraId="09DBCACA" w14:textId="77777777" w:rsidR="007A25BB" w:rsidRPr="006662CD" w:rsidRDefault="004016B8" w:rsidP="006662CD">
      <w:pPr>
        <w:spacing w:after="200" w:line="276" w:lineRule="auto"/>
        <w:ind w:left="357" w:hanging="357"/>
        <w:rPr>
          <w:rFonts w:asciiTheme="minorHAnsi" w:hAnsiTheme="minorHAnsi" w:cstheme="minorHAnsi"/>
          <w:b/>
          <w:color w:val="000000"/>
          <w:sz w:val="30"/>
          <w:szCs w:val="30"/>
        </w:rPr>
      </w:pPr>
      <w:r w:rsidRPr="006662CD">
        <w:rPr>
          <w:rFonts w:asciiTheme="minorHAnsi" w:hAnsiTheme="minorHAnsi" w:cstheme="minorHAnsi"/>
          <w:b/>
          <w:color w:val="000000"/>
          <w:sz w:val="30"/>
          <w:szCs w:val="30"/>
        </w:rPr>
        <w:t>6</w:t>
      </w:r>
      <w:r w:rsidR="007A25BB" w:rsidRPr="006662CD">
        <w:rPr>
          <w:rFonts w:asciiTheme="minorHAnsi" w:hAnsiTheme="minorHAnsi" w:cstheme="minorHAnsi"/>
          <w:b/>
          <w:color w:val="000000"/>
          <w:sz w:val="30"/>
          <w:szCs w:val="30"/>
        </w:rPr>
        <w:tab/>
        <w:t>Audit Scope</w:t>
      </w:r>
    </w:p>
    <w:p w14:paraId="4FFF4D98" w14:textId="77777777" w:rsidR="007A25BB" w:rsidRPr="0068570E" w:rsidRDefault="007A25BB" w:rsidP="006662CD">
      <w:pPr>
        <w:spacing w:after="200" w:line="276" w:lineRule="auto"/>
        <w:rPr>
          <w:rFonts w:asciiTheme="minorHAnsi" w:hAnsiTheme="minorHAnsi" w:cstheme="minorHAnsi"/>
          <w:color w:val="000000"/>
          <w:sz w:val="20"/>
          <w:szCs w:val="20"/>
        </w:rPr>
      </w:pPr>
      <w:r w:rsidRPr="0068570E">
        <w:rPr>
          <w:rFonts w:asciiTheme="minorHAnsi" w:hAnsiTheme="minorHAnsi" w:cstheme="minorHAnsi"/>
          <w:color w:val="000000"/>
          <w:sz w:val="20"/>
          <w:szCs w:val="20"/>
        </w:rPr>
        <w:t>The scope of Internal Audit encompasses the examination and evaluation of the adequacy and effectiveness of the University’s governance, risk management process, system of internal control structure, and the quality of performance in carrying out assigned responsibilities to achieve the University’s stated goals and objectives.  It includes:</w:t>
      </w:r>
    </w:p>
    <w:p w14:paraId="1050B27D" w14:textId="77777777" w:rsidR="0051098B" w:rsidRPr="0068570E" w:rsidRDefault="007A25BB" w:rsidP="000D7182">
      <w:pPr>
        <w:numPr>
          <w:ilvl w:val="0"/>
          <w:numId w:val="4"/>
        </w:numPr>
        <w:spacing w:after="200" w:line="276" w:lineRule="auto"/>
        <w:ind w:left="714" w:hanging="357"/>
        <w:rPr>
          <w:rFonts w:asciiTheme="minorHAnsi" w:hAnsiTheme="minorHAnsi" w:cstheme="minorHAnsi"/>
          <w:color w:val="000000"/>
          <w:sz w:val="20"/>
          <w:szCs w:val="20"/>
        </w:rPr>
      </w:pPr>
      <w:r w:rsidRPr="0068570E">
        <w:rPr>
          <w:rFonts w:asciiTheme="minorHAnsi" w:hAnsiTheme="minorHAnsi" w:cstheme="minorHAnsi"/>
          <w:color w:val="000000"/>
          <w:sz w:val="20"/>
          <w:szCs w:val="20"/>
        </w:rPr>
        <w:t>reviewing the reliability and integrity of financial and operating information</w:t>
      </w:r>
      <w:r w:rsidR="0051098B" w:rsidRPr="0068570E">
        <w:rPr>
          <w:rFonts w:asciiTheme="minorHAnsi" w:hAnsiTheme="minorHAnsi" w:cstheme="minorHAnsi"/>
          <w:color w:val="000000"/>
          <w:sz w:val="20"/>
          <w:szCs w:val="20"/>
        </w:rPr>
        <w:t>;</w:t>
      </w:r>
    </w:p>
    <w:p w14:paraId="02DC18F7" w14:textId="77777777" w:rsidR="0051098B" w:rsidRPr="0068570E" w:rsidRDefault="002C7FFB" w:rsidP="000D7182">
      <w:pPr>
        <w:numPr>
          <w:ilvl w:val="0"/>
          <w:numId w:val="4"/>
        </w:numPr>
        <w:spacing w:after="200" w:line="276" w:lineRule="auto"/>
        <w:ind w:left="714" w:hanging="357"/>
        <w:rPr>
          <w:rFonts w:asciiTheme="minorHAnsi" w:hAnsiTheme="minorHAnsi" w:cstheme="minorHAnsi"/>
          <w:color w:val="000000"/>
          <w:sz w:val="20"/>
          <w:szCs w:val="20"/>
        </w:rPr>
      </w:pPr>
      <w:r w:rsidRPr="0068570E">
        <w:rPr>
          <w:rFonts w:asciiTheme="minorHAnsi" w:hAnsiTheme="minorHAnsi" w:cstheme="minorHAnsi"/>
          <w:color w:val="000000"/>
          <w:sz w:val="20"/>
          <w:szCs w:val="20"/>
        </w:rPr>
        <w:t>reviewing the</w:t>
      </w:r>
      <w:r w:rsidR="0051098B" w:rsidRPr="0068570E">
        <w:rPr>
          <w:rFonts w:asciiTheme="minorHAnsi" w:hAnsiTheme="minorHAnsi" w:cstheme="minorHAnsi"/>
          <w:color w:val="000000"/>
          <w:sz w:val="20"/>
          <w:szCs w:val="20"/>
        </w:rPr>
        <w:t xml:space="preserve"> </w:t>
      </w:r>
      <w:r w:rsidRPr="0068570E">
        <w:rPr>
          <w:rFonts w:asciiTheme="minorHAnsi" w:hAnsiTheme="minorHAnsi" w:cstheme="minorHAnsi"/>
          <w:color w:val="000000"/>
          <w:sz w:val="20"/>
          <w:szCs w:val="20"/>
        </w:rPr>
        <w:t xml:space="preserve">security </w:t>
      </w:r>
      <w:r w:rsidR="0051098B" w:rsidRPr="0068570E">
        <w:rPr>
          <w:rFonts w:asciiTheme="minorHAnsi" w:hAnsiTheme="minorHAnsi" w:cstheme="minorHAnsi"/>
          <w:color w:val="000000"/>
          <w:sz w:val="20"/>
          <w:szCs w:val="20"/>
        </w:rPr>
        <w:t xml:space="preserve">and integrity of </w:t>
      </w:r>
      <w:r w:rsidRPr="0068570E">
        <w:rPr>
          <w:rFonts w:asciiTheme="minorHAnsi" w:hAnsiTheme="minorHAnsi" w:cstheme="minorHAnsi"/>
          <w:color w:val="000000"/>
          <w:sz w:val="20"/>
          <w:szCs w:val="20"/>
        </w:rPr>
        <w:t>information technology</w:t>
      </w:r>
      <w:r w:rsidR="0051098B" w:rsidRPr="0068570E">
        <w:rPr>
          <w:rFonts w:asciiTheme="minorHAnsi" w:hAnsiTheme="minorHAnsi" w:cstheme="minorHAnsi"/>
          <w:color w:val="000000"/>
          <w:sz w:val="20"/>
          <w:szCs w:val="20"/>
        </w:rPr>
        <w:t xml:space="preserve"> systems;</w:t>
      </w:r>
    </w:p>
    <w:p w14:paraId="50B66E02" w14:textId="77777777" w:rsidR="007A25BB" w:rsidRPr="0068570E" w:rsidRDefault="007A25BB" w:rsidP="000D7182">
      <w:pPr>
        <w:numPr>
          <w:ilvl w:val="0"/>
          <w:numId w:val="4"/>
        </w:numPr>
        <w:spacing w:after="200" w:line="276" w:lineRule="auto"/>
        <w:ind w:left="714" w:hanging="357"/>
        <w:rPr>
          <w:rFonts w:asciiTheme="minorHAnsi" w:hAnsiTheme="minorHAnsi" w:cstheme="minorHAnsi"/>
          <w:color w:val="000000"/>
          <w:sz w:val="20"/>
          <w:szCs w:val="20"/>
        </w:rPr>
      </w:pPr>
      <w:r w:rsidRPr="0068570E">
        <w:rPr>
          <w:rFonts w:asciiTheme="minorHAnsi" w:hAnsiTheme="minorHAnsi" w:cstheme="minorHAnsi"/>
          <w:color w:val="000000"/>
          <w:sz w:val="20"/>
          <w:szCs w:val="20"/>
        </w:rPr>
        <w:t>reviewing the systems established to ensure compliance with those policies, plans, procedures, laws, and regulations which could have a significant impact on operations and reports and whether the University is in compliance</w:t>
      </w:r>
      <w:r w:rsidR="0035177D" w:rsidRPr="0068570E">
        <w:rPr>
          <w:rFonts w:asciiTheme="minorHAnsi" w:hAnsiTheme="minorHAnsi" w:cstheme="minorHAnsi"/>
          <w:color w:val="000000"/>
          <w:sz w:val="20"/>
          <w:szCs w:val="20"/>
        </w:rPr>
        <w:t>;</w:t>
      </w:r>
    </w:p>
    <w:p w14:paraId="01A71800" w14:textId="77777777" w:rsidR="007A25BB" w:rsidRPr="0068570E" w:rsidRDefault="007A25BB" w:rsidP="000D7182">
      <w:pPr>
        <w:numPr>
          <w:ilvl w:val="0"/>
          <w:numId w:val="4"/>
        </w:numPr>
        <w:spacing w:after="200" w:line="276" w:lineRule="auto"/>
        <w:ind w:left="714" w:hanging="357"/>
        <w:rPr>
          <w:rFonts w:asciiTheme="minorHAnsi" w:hAnsiTheme="minorHAnsi" w:cstheme="minorHAnsi"/>
          <w:color w:val="000000"/>
          <w:sz w:val="20"/>
          <w:szCs w:val="20"/>
        </w:rPr>
      </w:pPr>
      <w:r w:rsidRPr="0068570E">
        <w:rPr>
          <w:rFonts w:asciiTheme="minorHAnsi" w:hAnsiTheme="minorHAnsi" w:cstheme="minorHAnsi"/>
          <w:color w:val="000000"/>
          <w:sz w:val="20"/>
          <w:szCs w:val="20"/>
        </w:rPr>
        <w:t>reviewing the means of safeguarding assets and, as appropriate, verifying the existence of such assets</w:t>
      </w:r>
      <w:r w:rsidR="0035177D" w:rsidRPr="0068570E">
        <w:rPr>
          <w:rFonts w:asciiTheme="minorHAnsi" w:hAnsiTheme="minorHAnsi" w:cstheme="minorHAnsi"/>
          <w:color w:val="000000"/>
          <w:sz w:val="20"/>
          <w:szCs w:val="20"/>
        </w:rPr>
        <w:t>;</w:t>
      </w:r>
    </w:p>
    <w:p w14:paraId="0250773E" w14:textId="77777777" w:rsidR="007A25BB" w:rsidRPr="0068570E" w:rsidRDefault="007A25BB" w:rsidP="000D7182">
      <w:pPr>
        <w:numPr>
          <w:ilvl w:val="0"/>
          <w:numId w:val="4"/>
        </w:numPr>
        <w:spacing w:after="200" w:line="276" w:lineRule="auto"/>
        <w:ind w:left="714" w:hanging="357"/>
        <w:rPr>
          <w:rFonts w:asciiTheme="minorHAnsi" w:hAnsiTheme="minorHAnsi" w:cstheme="minorHAnsi"/>
          <w:color w:val="000000"/>
          <w:sz w:val="20"/>
          <w:szCs w:val="20"/>
        </w:rPr>
      </w:pPr>
      <w:r w:rsidRPr="0068570E">
        <w:rPr>
          <w:rFonts w:asciiTheme="minorHAnsi" w:hAnsiTheme="minorHAnsi" w:cstheme="minorHAnsi"/>
          <w:color w:val="000000"/>
          <w:sz w:val="20"/>
          <w:szCs w:val="20"/>
        </w:rPr>
        <w:t>reviewing and appraising the economy and efficiency with which resources are employed</w:t>
      </w:r>
    </w:p>
    <w:p w14:paraId="63FB44B0" w14:textId="77777777" w:rsidR="007A25BB" w:rsidRPr="0068570E" w:rsidRDefault="007A25BB" w:rsidP="000D7182">
      <w:pPr>
        <w:numPr>
          <w:ilvl w:val="0"/>
          <w:numId w:val="4"/>
        </w:numPr>
        <w:spacing w:after="200" w:line="276" w:lineRule="auto"/>
        <w:ind w:left="714" w:hanging="357"/>
        <w:rPr>
          <w:rFonts w:asciiTheme="minorHAnsi" w:hAnsiTheme="minorHAnsi" w:cstheme="minorHAnsi"/>
          <w:color w:val="000000"/>
          <w:sz w:val="20"/>
          <w:szCs w:val="20"/>
        </w:rPr>
      </w:pPr>
      <w:r w:rsidRPr="0068570E">
        <w:rPr>
          <w:rFonts w:asciiTheme="minorHAnsi" w:hAnsiTheme="minorHAnsi" w:cstheme="minorHAnsi"/>
          <w:color w:val="000000"/>
          <w:sz w:val="20"/>
          <w:szCs w:val="20"/>
        </w:rPr>
        <w:t>reviewing operations or programs to ascertain whether results are consistent with established objectives and goals and whether the operations or programs are being carried out as planned</w:t>
      </w:r>
      <w:r w:rsidR="0035177D" w:rsidRPr="0068570E">
        <w:rPr>
          <w:rFonts w:asciiTheme="minorHAnsi" w:hAnsiTheme="minorHAnsi" w:cstheme="minorHAnsi"/>
          <w:color w:val="000000"/>
          <w:sz w:val="20"/>
          <w:szCs w:val="20"/>
        </w:rPr>
        <w:t>;</w:t>
      </w:r>
    </w:p>
    <w:p w14:paraId="3986FDFF" w14:textId="77777777" w:rsidR="007A25BB" w:rsidRPr="0068570E" w:rsidRDefault="007A25BB" w:rsidP="000D7182">
      <w:pPr>
        <w:numPr>
          <w:ilvl w:val="0"/>
          <w:numId w:val="4"/>
        </w:numPr>
        <w:spacing w:after="200" w:line="276" w:lineRule="auto"/>
        <w:ind w:left="714" w:hanging="357"/>
        <w:rPr>
          <w:rFonts w:asciiTheme="minorHAnsi" w:hAnsiTheme="minorHAnsi" w:cstheme="minorHAnsi"/>
          <w:color w:val="000000"/>
          <w:sz w:val="20"/>
          <w:szCs w:val="20"/>
        </w:rPr>
      </w:pPr>
      <w:r w:rsidRPr="0068570E">
        <w:rPr>
          <w:rFonts w:asciiTheme="minorHAnsi" w:hAnsiTheme="minorHAnsi" w:cstheme="minorHAnsi"/>
          <w:color w:val="000000"/>
          <w:sz w:val="20"/>
          <w:szCs w:val="20"/>
        </w:rPr>
        <w:t xml:space="preserve">reviewing specific operations at the request of the </w:t>
      </w:r>
      <w:r w:rsidR="003432A8" w:rsidRPr="0068570E">
        <w:rPr>
          <w:rFonts w:asciiTheme="minorHAnsi" w:hAnsiTheme="minorHAnsi" w:cstheme="minorHAnsi"/>
          <w:color w:val="000000"/>
          <w:sz w:val="20"/>
          <w:szCs w:val="20"/>
        </w:rPr>
        <w:t>CGARC</w:t>
      </w:r>
      <w:r w:rsidRPr="0068570E">
        <w:rPr>
          <w:rFonts w:asciiTheme="minorHAnsi" w:hAnsiTheme="minorHAnsi" w:cstheme="minorHAnsi"/>
          <w:color w:val="000000"/>
          <w:sz w:val="20"/>
          <w:szCs w:val="20"/>
        </w:rPr>
        <w:t xml:space="preserve"> or management, as appropriate</w:t>
      </w:r>
      <w:r w:rsidR="0035177D" w:rsidRPr="0068570E">
        <w:rPr>
          <w:rFonts w:asciiTheme="minorHAnsi" w:hAnsiTheme="minorHAnsi" w:cstheme="minorHAnsi"/>
          <w:color w:val="000000"/>
          <w:sz w:val="20"/>
          <w:szCs w:val="20"/>
        </w:rPr>
        <w:t>;</w:t>
      </w:r>
    </w:p>
    <w:p w14:paraId="0ACAFA01" w14:textId="77777777" w:rsidR="007A25BB" w:rsidRPr="0068570E" w:rsidRDefault="007A25BB" w:rsidP="000D7182">
      <w:pPr>
        <w:numPr>
          <w:ilvl w:val="0"/>
          <w:numId w:val="4"/>
        </w:numPr>
        <w:spacing w:after="200" w:line="276" w:lineRule="auto"/>
        <w:ind w:left="714" w:hanging="357"/>
        <w:rPr>
          <w:rFonts w:asciiTheme="minorHAnsi" w:hAnsiTheme="minorHAnsi" w:cstheme="minorHAnsi"/>
          <w:color w:val="000000"/>
          <w:sz w:val="20"/>
          <w:szCs w:val="20"/>
        </w:rPr>
      </w:pPr>
      <w:r w:rsidRPr="0068570E">
        <w:rPr>
          <w:rFonts w:asciiTheme="minorHAnsi" w:hAnsiTheme="minorHAnsi" w:cstheme="minorHAnsi"/>
          <w:color w:val="000000"/>
          <w:sz w:val="20"/>
          <w:szCs w:val="20"/>
        </w:rPr>
        <w:t>monitoring and evaluating the effectiveness of the University’s risk management framework</w:t>
      </w:r>
      <w:r w:rsidR="0035177D" w:rsidRPr="0068570E">
        <w:rPr>
          <w:rFonts w:asciiTheme="minorHAnsi" w:hAnsiTheme="minorHAnsi" w:cstheme="minorHAnsi"/>
          <w:color w:val="000000"/>
          <w:sz w:val="20"/>
          <w:szCs w:val="20"/>
        </w:rPr>
        <w:t>;</w:t>
      </w:r>
    </w:p>
    <w:p w14:paraId="27E5AE17" w14:textId="77777777" w:rsidR="00DE4B4E" w:rsidRPr="0068570E" w:rsidRDefault="00DE4B4E" w:rsidP="000D7182">
      <w:pPr>
        <w:numPr>
          <w:ilvl w:val="0"/>
          <w:numId w:val="4"/>
        </w:numPr>
        <w:spacing w:after="200" w:line="276" w:lineRule="auto"/>
        <w:ind w:left="714" w:hanging="357"/>
        <w:rPr>
          <w:rFonts w:asciiTheme="minorHAnsi" w:hAnsiTheme="minorHAnsi" w:cstheme="minorHAnsi"/>
          <w:color w:val="000000"/>
          <w:sz w:val="20"/>
          <w:szCs w:val="20"/>
        </w:rPr>
      </w:pPr>
      <w:r w:rsidRPr="0068570E">
        <w:rPr>
          <w:rFonts w:asciiTheme="minorHAnsi" w:hAnsiTheme="minorHAnsi" w:cstheme="minorHAnsi"/>
          <w:color w:val="000000"/>
          <w:sz w:val="20"/>
          <w:szCs w:val="20"/>
        </w:rPr>
        <w:t>reviewing the potential for fraud to occur and how the University manages fraud risk;</w:t>
      </w:r>
    </w:p>
    <w:p w14:paraId="315464E6" w14:textId="77777777" w:rsidR="007A25BB" w:rsidRPr="0068570E" w:rsidRDefault="007A25BB" w:rsidP="000D7182">
      <w:pPr>
        <w:numPr>
          <w:ilvl w:val="0"/>
          <w:numId w:val="4"/>
        </w:numPr>
        <w:spacing w:after="200" w:line="276" w:lineRule="auto"/>
        <w:ind w:left="714" w:hanging="357"/>
        <w:rPr>
          <w:rFonts w:asciiTheme="minorHAnsi" w:hAnsiTheme="minorHAnsi" w:cstheme="minorHAnsi"/>
          <w:color w:val="000000"/>
          <w:sz w:val="20"/>
          <w:szCs w:val="20"/>
        </w:rPr>
      </w:pPr>
      <w:r w:rsidRPr="0068570E">
        <w:rPr>
          <w:rFonts w:asciiTheme="minorHAnsi" w:hAnsiTheme="minorHAnsi" w:cstheme="minorHAnsi"/>
          <w:color w:val="000000"/>
          <w:sz w:val="20"/>
          <w:szCs w:val="20"/>
        </w:rPr>
        <w:t>appointment of external audit service providers to assist in the completion of the audit plan</w:t>
      </w:r>
      <w:r w:rsidR="0035177D" w:rsidRPr="0068570E">
        <w:rPr>
          <w:rFonts w:asciiTheme="minorHAnsi" w:hAnsiTheme="minorHAnsi" w:cstheme="minorHAnsi"/>
          <w:color w:val="000000"/>
          <w:sz w:val="20"/>
          <w:szCs w:val="20"/>
        </w:rPr>
        <w:t>;</w:t>
      </w:r>
      <w:r w:rsidRPr="0068570E">
        <w:rPr>
          <w:rFonts w:asciiTheme="minorHAnsi" w:hAnsiTheme="minorHAnsi" w:cstheme="minorHAnsi"/>
          <w:color w:val="000000"/>
          <w:sz w:val="20"/>
          <w:szCs w:val="20"/>
        </w:rPr>
        <w:t xml:space="preserve"> and</w:t>
      </w:r>
    </w:p>
    <w:p w14:paraId="0DAF9C68" w14:textId="77777777" w:rsidR="0035177D" w:rsidRPr="0068570E" w:rsidRDefault="007A25BB" w:rsidP="000D7182">
      <w:pPr>
        <w:numPr>
          <w:ilvl w:val="0"/>
          <w:numId w:val="4"/>
        </w:numPr>
        <w:spacing w:after="200" w:line="276" w:lineRule="auto"/>
        <w:ind w:left="714" w:hanging="357"/>
        <w:rPr>
          <w:rFonts w:asciiTheme="minorHAnsi" w:hAnsiTheme="minorHAnsi" w:cstheme="minorHAnsi"/>
          <w:color w:val="000000"/>
          <w:sz w:val="20"/>
          <w:szCs w:val="20"/>
        </w:rPr>
      </w:pPr>
      <w:r w:rsidRPr="0068570E">
        <w:rPr>
          <w:rFonts w:asciiTheme="minorHAnsi" w:hAnsiTheme="minorHAnsi" w:cstheme="minorHAnsi"/>
          <w:color w:val="000000"/>
          <w:sz w:val="20"/>
          <w:szCs w:val="20"/>
        </w:rPr>
        <w:t xml:space="preserve">reviewing the quality of performance of external audit service providers. </w:t>
      </w:r>
    </w:p>
    <w:p w14:paraId="250FF4E2" w14:textId="77777777" w:rsidR="000D7182" w:rsidRDefault="000D7182">
      <w:pPr>
        <w:rPr>
          <w:rFonts w:asciiTheme="minorHAnsi" w:hAnsiTheme="minorHAnsi" w:cstheme="minorHAnsi"/>
          <w:color w:val="000000"/>
          <w:sz w:val="20"/>
          <w:szCs w:val="20"/>
        </w:rPr>
      </w:pPr>
      <w:r>
        <w:rPr>
          <w:rFonts w:asciiTheme="minorHAnsi" w:hAnsiTheme="minorHAnsi" w:cstheme="minorHAnsi"/>
          <w:color w:val="000000"/>
          <w:sz w:val="20"/>
          <w:szCs w:val="20"/>
        </w:rPr>
        <w:br w:type="page"/>
      </w:r>
    </w:p>
    <w:p w14:paraId="7032574B" w14:textId="77777777" w:rsidR="007A25BB" w:rsidRPr="006662CD" w:rsidRDefault="004016B8" w:rsidP="006662CD">
      <w:pPr>
        <w:spacing w:after="200" w:line="276" w:lineRule="auto"/>
        <w:ind w:left="357" w:hanging="357"/>
        <w:rPr>
          <w:rFonts w:asciiTheme="minorHAnsi" w:hAnsiTheme="minorHAnsi" w:cstheme="minorHAnsi"/>
          <w:color w:val="000000"/>
          <w:sz w:val="30"/>
          <w:szCs w:val="30"/>
        </w:rPr>
      </w:pPr>
      <w:r w:rsidRPr="006662CD">
        <w:rPr>
          <w:rFonts w:asciiTheme="minorHAnsi" w:hAnsiTheme="minorHAnsi" w:cstheme="minorHAnsi"/>
          <w:b/>
          <w:bCs/>
          <w:color w:val="000000"/>
          <w:sz w:val="30"/>
          <w:szCs w:val="30"/>
        </w:rPr>
        <w:lastRenderedPageBreak/>
        <w:t>7</w:t>
      </w:r>
      <w:r w:rsidR="007A25BB" w:rsidRPr="006662CD">
        <w:rPr>
          <w:rFonts w:asciiTheme="minorHAnsi" w:hAnsiTheme="minorHAnsi" w:cstheme="minorHAnsi"/>
          <w:b/>
          <w:bCs/>
          <w:color w:val="000000"/>
          <w:sz w:val="30"/>
          <w:szCs w:val="30"/>
        </w:rPr>
        <w:tab/>
        <w:t>Audit Planning</w:t>
      </w:r>
    </w:p>
    <w:p w14:paraId="564BC63D" w14:textId="77777777" w:rsidR="00806780" w:rsidRPr="0068570E" w:rsidRDefault="007A25BB" w:rsidP="006662CD">
      <w:pPr>
        <w:spacing w:after="200" w:line="276" w:lineRule="auto"/>
        <w:rPr>
          <w:rFonts w:asciiTheme="minorHAnsi" w:hAnsiTheme="minorHAnsi" w:cstheme="minorHAnsi"/>
          <w:color w:val="000000"/>
          <w:sz w:val="20"/>
          <w:szCs w:val="20"/>
        </w:rPr>
      </w:pPr>
      <w:r w:rsidRPr="0068570E">
        <w:rPr>
          <w:rFonts w:asciiTheme="minorHAnsi" w:hAnsiTheme="minorHAnsi" w:cstheme="minorHAnsi"/>
          <w:color w:val="000000"/>
          <w:sz w:val="20"/>
          <w:szCs w:val="20"/>
        </w:rPr>
        <w:t xml:space="preserve">Annually, the Director Risk Management shall submit to </w:t>
      </w:r>
      <w:r w:rsidR="00651683" w:rsidRPr="0068570E">
        <w:rPr>
          <w:rFonts w:asciiTheme="minorHAnsi" w:hAnsiTheme="minorHAnsi" w:cstheme="minorHAnsi"/>
          <w:color w:val="000000"/>
          <w:sz w:val="20"/>
          <w:szCs w:val="20"/>
        </w:rPr>
        <w:t xml:space="preserve">CGARC </w:t>
      </w:r>
      <w:r w:rsidRPr="0068570E">
        <w:rPr>
          <w:rFonts w:asciiTheme="minorHAnsi" w:hAnsiTheme="minorHAnsi" w:cstheme="minorHAnsi"/>
          <w:color w:val="000000"/>
          <w:sz w:val="20"/>
          <w:szCs w:val="20"/>
        </w:rPr>
        <w:t xml:space="preserve">an Audit Plan for approval.  The Audit Plan is to be developed based </w:t>
      </w:r>
      <w:r w:rsidR="004214E5" w:rsidRPr="0068570E">
        <w:rPr>
          <w:rFonts w:asciiTheme="minorHAnsi" w:hAnsiTheme="minorHAnsi" w:cstheme="minorHAnsi"/>
          <w:color w:val="000000"/>
          <w:sz w:val="20"/>
          <w:szCs w:val="20"/>
        </w:rPr>
        <w:t>on:</w:t>
      </w:r>
    </w:p>
    <w:p w14:paraId="340104E0" w14:textId="77777777" w:rsidR="004214E5" w:rsidRPr="0068570E" w:rsidRDefault="004214E5" w:rsidP="006662CD">
      <w:pPr>
        <w:numPr>
          <w:ilvl w:val="0"/>
          <w:numId w:val="4"/>
        </w:numPr>
        <w:spacing w:after="200" w:line="276" w:lineRule="auto"/>
        <w:ind w:left="357" w:hanging="357"/>
        <w:rPr>
          <w:rFonts w:asciiTheme="minorHAnsi" w:hAnsiTheme="minorHAnsi" w:cstheme="minorHAnsi"/>
          <w:color w:val="000000"/>
          <w:sz w:val="20"/>
          <w:szCs w:val="20"/>
        </w:rPr>
      </w:pPr>
      <w:r w:rsidRPr="0068570E">
        <w:rPr>
          <w:rFonts w:asciiTheme="minorHAnsi" w:hAnsiTheme="minorHAnsi" w:cstheme="minorHAnsi"/>
          <w:color w:val="000000"/>
          <w:sz w:val="20"/>
          <w:szCs w:val="20"/>
        </w:rPr>
        <w:t xml:space="preserve">an assessment of the </w:t>
      </w:r>
      <w:r w:rsidR="00806780" w:rsidRPr="0068570E">
        <w:rPr>
          <w:rFonts w:asciiTheme="minorHAnsi" w:hAnsiTheme="minorHAnsi" w:cstheme="minorHAnsi"/>
          <w:color w:val="000000"/>
          <w:sz w:val="20"/>
          <w:szCs w:val="20"/>
        </w:rPr>
        <w:t xml:space="preserve">University’s </w:t>
      </w:r>
      <w:r w:rsidRPr="0068570E">
        <w:rPr>
          <w:rFonts w:asciiTheme="minorHAnsi" w:hAnsiTheme="minorHAnsi" w:cstheme="minorHAnsi"/>
          <w:color w:val="000000"/>
          <w:sz w:val="20"/>
          <w:szCs w:val="20"/>
        </w:rPr>
        <w:t>Enterprise Risk Management Plan;</w:t>
      </w:r>
    </w:p>
    <w:p w14:paraId="2624E2BD" w14:textId="77777777" w:rsidR="004214E5" w:rsidRPr="0068570E" w:rsidRDefault="004214E5" w:rsidP="006662CD">
      <w:pPr>
        <w:numPr>
          <w:ilvl w:val="0"/>
          <w:numId w:val="4"/>
        </w:numPr>
        <w:spacing w:after="200" w:line="276" w:lineRule="auto"/>
        <w:ind w:left="357"/>
        <w:rPr>
          <w:rFonts w:asciiTheme="minorHAnsi" w:hAnsiTheme="minorHAnsi" w:cstheme="minorHAnsi"/>
          <w:color w:val="000000"/>
          <w:sz w:val="20"/>
          <w:szCs w:val="20"/>
        </w:rPr>
      </w:pPr>
      <w:r w:rsidRPr="0068570E">
        <w:rPr>
          <w:rFonts w:asciiTheme="minorHAnsi" w:hAnsiTheme="minorHAnsi" w:cstheme="minorHAnsi"/>
          <w:color w:val="000000"/>
          <w:sz w:val="20"/>
          <w:szCs w:val="20"/>
        </w:rPr>
        <w:t>consideration of La Trobe University Council’s strategic Risk Appetite;</w:t>
      </w:r>
    </w:p>
    <w:p w14:paraId="701B2C92" w14:textId="77777777" w:rsidR="004214E5" w:rsidRPr="0068570E" w:rsidRDefault="004214E5" w:rsidP="006662CD">
      <w:pPr>
        <w:numPr>
          <w:ilvl w:val="0"/>
          <w:numId w:val="4"/>
        </w:numPr>
        <w:spacing w:after="200" w:line="276" w:lineRule="auto"/>
        <w:ind w:left="357"/>
        <w:rPr>
          <w:rFonts w:asciiTheme="minorHAnsi" w:hAnsiTheme="minorHAnsi" w:cstheme="minorHAnsi"/>
          <w:color w:val="000000"/>
          <w:sz w:val="20"/>
          <w:szCs w:val="20"/>
        </w:rPr>
      </w:pPr>
      <w:r w:rsidRPr="0068570E">
        <w:rPr>
          <w:rFonts w:asciiTheme="minorHAnsi" w:hAnsiTheme="minorHAnsi" w:cstheme="minorHAnsi"/>
          <w:color w:val="000000"/>
          <w:sz w:val="20"/>
          <w:szCs w:val="20"/>
        </w:rPr>
        <w:t>an environmental scan and alignment of global and national risk triggers inherent within the University sector;</w:t>
      </w:r>
    </w:p>
    <w:p w14:paraId="5D89DAEB" w14:textId="77777777" w:rsidR="004214E5" w:rsidRPr="0068570E" w:rsidRDefault="004214E5" w:rsidP="006662CD">
      <w:pPr>
        <w:numPr>
          <w:ilvl w:val="0"/>
          <w:numId w:val="4"/>
        </w:numPr>
        <w:spacing w:after="200" w:line="276" w:lineRule="auto"/>
        <w:ind w:left="357"/>
        <w:rPr>
          <w:rFonts w:asciiTheme="minorHAnsi" w:hAnsiTheme="minorHAnsi" w:cstheme="minorHAnsi"/>
          <w:color w:val="000000"/>
          <w:sz w:val="20"/>
          <w:szCs w:val="20"/>
        </w:rPr>
      </w:pPr>
      <w:r w:rsidRPr="0068570E">
        <w:rPr>
          <w:rFonts w:asciiTheme="minorHAnsi" w:hAnsiTheme="minorHAnsi" w:cstheme="minorHAnsi"/>
          <w:color w:val="000000"/>
          <w:sz w:val="20"/>
          <w:szCs w:val="20"/>
        </w:rPr>
        <w:t>consideration of the University’s key initiatives planned or underway;</w:t>
      </w:r>
    </w:p>
    <w:p w14:paraId="0CA04935" w14:textId="77777777" w:rsidR="00806780" w:rsidRDefault="004214E5" w:rsidP="006662CD">
      <w:pPr>
        <w:numPr>
          <w:ilvl w:val="0"/>
          <w:numId w:val="4"/>
        </w:numPr>
        <w:spacing w:after="200" w:line="276" w:lineRule="auto"/>
        <w:ind w:left="357"/>
        <w:rPr>
          <w:rFonts w:asciiTheme="minorHAnsi" w:hAnsiTheme="minorHAnsi" w:cstheme="minorHAnsi"/>
          <w:color w:val="000000"/>
          <w:sz w:val="20"/>
          <w:szCs w:val="20"/>
        </w:rPr>
      </w:pPr>
      <w:r w:rsidRPr="0068570E">
        <w:rPr>
          <w:rFonts w:asciiTheme="minorHAnsi" w:hAnsiTheme="minorHAnsi" w:cstheme="minorHAnsi"/>
          <w:color w:val="000000"/>
          <w:sz w:val="20"/>
          <w:szCs w:val="20"/>
        </w:rPr>
        <w:t>consideration of prior years’ Internal Audit Plans, associated findings and recommendations as well as consideration of audits that were deferred from the prior year; and</w:t>
      </w:r>
    </w:p>
    <w:p w14:paraId="7C2535F1" w14:textId="77777777" w:rsidR="006662CD" w:rsidRPr="0068570E" w:rsidRDefault="006662CD" w:rsidP="006662CD">
      <w:pPr>
        <w:numPr>
          <w:ilvl w:val="0"/>
          <w:numId w:val="4"/>
        </w:numPr>
        <w:spacing w:after="200" w:line="276" w:lineRule="auto"/>
        <w:ind w:left="357"/>
        <w:rPr>
          <w:rFonts w:asciiTheme="minorHAnsi" w:hAnsiTheme="minorHAnsi" w:cstheme="minorHAnsi"/>
          <w:color w:val="000000"/>
          <w:sz w:val="20"/>
          <w:szCs w:val="20"/>
        </w:rPr>
      </w:pPr>
      <w:r>
        <w:rPr>
          <w:rFonts w:asciiTheme="minorHAnsi" w:hAnsiTheme="minorHAnsi" w:cstheme="minorHAnsi"/>
          <w:color w:val="000000"/>
          <w:sz w:val="20"/>
          <w:szCs w:val="20"/>
        </w:rPr>
        <w:t xml:space="preserve">consideration </w:t>
      </w:r>
      <w:r w:rsidRPr="006662CD">
        <w:rPr>
          <w:rFonts w:asciiTheme="minorHAnsi" w:hAnsiTheme="minorHAnsi" w:cstheme="minorHAnsi"/>
          <w:color w:val="000000"/>
          <w:sz w:val="20"/>
          <w:szCs w:val="20"/>
        </w:rPr>
        <w:t>of the elements in the University’s assurance framework</w:t>
      </w:r>
    </w:p>
    <w:p w14:paraId="3A934787" w14:textId="77777777" w:rsidR="007A25BB" w:rsidRPr="0068570E" w:rsidRDefault="007A25BB" w:rsidP="006662CD">
      <w:pPr>
        <w:spacing w:after="200" w:line="276" w:lineRule="auto"/>
        <w:rPr>
          <w:rFonts w:asciiTheme="minorHAnsi" w:hAnsiTheme="minorHAnsi" w:cstheme="minorHAnsi"/>
          <w:color w:val="000000"/>
          <w:sz w:val="20"/>
          <w:szCs w:val="20"/>
        </w:rPr>
      </w:pPr>
      <w:r w:rsidRPr="0068570E">
        <w:rPr>
          <w:rFonts w:asciiTheme="minorHAnsi" w:hAnsiTheme="minorHAnsi" w:cstheme="minorHAnsi"/>
          <w:color w:val="000000"/>
          <w:sz w:val="20"/>
          <w:szCs w:val="20"/>
        </w:rPr>
        <w:t xml:space="preserve">Any significant deviation from the approved Plan shall be </w:t>
      </w:r>
      <w:r w:rsidR="0051098B" w:rsidRPr="0068570E">
        <w:rPr>
          <w:rFonts w:asciiTheme="minorHAnsi" w:hAnsiTheme="minorHAnsi" w:cstheme="minorHAnsi"/>
          <w:color w:val="000000"/>
          <w:sz w:val="20"/>
          <w:szCs w:val="20"/>
        </w:rPr>
        <w:t xml:space="preserve">approved by </w:t>
      </w:r>
      <w:r w:rsidR="00806780" w:rsidRPr="0068570E">
        <w:rPr>
          <w:rFonts w:asciiTheme="minorHAnsi" w:hAnsiTheme="minorHAnsi" w:cstheme="minorHAnsi"/>
          <w:color w:val="000000"/>
          <w:sz w:val="20"/>
          <w:szCs w:val="20"/>
        </w:rPr>
        <w:t>CGARC</w:t>
      </w:r>
      <w:r w:rsidRPr="0068570E">
        <w:rPr>
          <w:rFonts w:asciiTheme="minorHAnsi" w:hAnsiTheme="minorHAnsi" w:cstheme="minorHAnsi"/>
          <w:color w:val="000000"/>
          <w:sz w:val="20"/>
          <w:szCs w:val="20"/>
        </w:rPr>
        <w:t>.</w:t>
      </w:r>
    </w:p>
    <w:p w14:paraId="3F2BCBF4" w14:textId="77777777" w:rsidR="007A25BB" w:rsidRPr="0068570E" w:rsidRDefault="007A25BB" w:rsidP="006662CD">
      <w:pPr>
        <w:spacing w:after="200" w:line="276" w:lineRule="auto"/>
        <w:rPr>
          <w:rFonts w:asciiTheme="minorHAnsi" w:hAnsiTheme="minorHAnsi" w:cstheme="minorHAnsi"/>
          <w:b/>
          <w:bCs/>
          <w:sz w:val="20"/>
          <w:szCs w:val="20"/>
        </w:rPr>
      </w:pPr>
    </w:p>
    <w:p w14:paraId="0E3C152D" w14:textId="77777777" w:rsidR="007A25BB" w:rsidRPr="0068570E" w:rsidRDefault="007A25BB" w:rsidP="006662CD">
      <w:pPr>
        <w:spacing w:after="200" w:line="276" w:lineRule="auto"/>
        <w:rPr>
          <w:rFonts w:asciiTheme="minorHAnsi" w:hAnsiTheme="minorHAnsi" w:cstheme="minorHAnsi"/>
          <w:b/>
          <w:bCs/>
          <w:sz w:val="20"/>
          <w:szCs w:val="20"/>
        </w:rPr>
      </w:pPr>
    </w:p>
    <w:p w14:paraId="32052867" w14:textId="1D54EF0F" w:rsidR="005572B4" w:rsidRPr="0068570E" w:rsidRDefault="005572B4" w:rsidP="006662CD">
      <w:pPr>
        <w:spacing w:after="200" w:line="276" w:lineRule="auto"/>
        <w:rPr>
          <w:rFonts w:asciiTheme="minorHAnsi" w:hAnsiTheme="minorHAnsi" w:cstheme="minorHAnsi"/>
          <w:b/>
          <w:bCs/>
          <w:sz w:val="20"/>
          <w:szCs w:val="20"/>
        </w:rPr>
      </w:pPr>
      <w:r w:rsidRPr="00C17CC9">
        <w:rPr>
          <w:rFonts w:asciiTheme="minorHAnsi" w:hAnsiTheme="minorHAnsi" w:cstheme="minorHAnsi"/>
          <w:b/>
          <w:bCs/>
          <w:sz w:val="20"/>
          <w:szCs w:val="20"/>
        </w:rPr>
        <w:t xml:space="preserve">Approved by Corporate Governance Audit and Risk Committee on </w:t>
      </w:r>
      <w:r w:rsidR="00C17CC9">
        <w:rPr>
          <w:rFonts w:asciiTheme="minorHAnsi" w:hAnsiTheme="minorHAnsi" w:cstheme="minorHAnsi"/>
          <w:b/>
          <w:bCs/>
          <w:sz w:val="20"/>
          <w:szCs w:val="20"/>
        </w:rPr>
        <w:t>17 May 2017 and by Council on 5 June 2017.</w:t>
      </w:r>
    </w:p>
    <w:sectPr w:rsidR="005572B4" w:rsidRPr="0068570E" w:rsidSect="00130F45">
      <w:headerReference w:type="even" r:id="rId8"/>
      <w:headerReference w:type="default" r:id="rId9"/>
      <w:footerReference w:type="even" r:id="rId10"/>
      <w:footerReference w:type="default" r:id="rId11"/>
      <w:headerReference w:type="first" r:id="rId12"/>
      <w:footerReference w:type="first" r:id="rId13"/>
      <w:pgSz w:w="11906" w:h="16838"/>
      <w:pgMar w:top="1134" w:right="992"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8BD7F" w14:textId="77777777" w:rsidR="003C4B4D" w:rsidRDefault="003C4B4D" w:rsidP="00C17CC9">
      <w:r>
        <w:separator/>
      </w:r>
    </w:p>
  </w:endnote>
  <w:endnote w:type="continuationSeparator" w:id="0">
    <w:p w14:paraId="4E6602CE" w14:textId="77777777" w:rsidR="003C4B4D" w:rsidRDefault="003C4B4D" w:rsidP="00C17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88A95" w14:textId="77777777" w:rsidR="00C17CC9" w:rsidRDefault="00C17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6D0E8" w14:textId="0EC0B315" w:rsidR="00C17CC9" w:rsidRPr="00C17CC9" w:rsidRDefault="00C17CC9">
    <w:pPr>
      <w:pStyle w:val="Footer"/>
      <w:rPr>
        <w:sz w:val="16"/>
        <w:szCs w:val="16"/>
      </w:rPr>
    </w:pPr>
    <w:r w:rsidRPr="00C17CC9">
      <w:rPr>
        <w:sz w:val="16"/>
        <w:szCs w:val="16"/>
      </w:rPr>
      <w:t>V2017-06-05 Internal Audit Charter</w:t>
    </w:r>
    <w:r w:rsidR="000461FE">
      <w:rPr>
        <w:sz w:val="16"/>
        <w:szCs w:val="16"/>
      </w:rPr>
      <w:t xml:space="preserve"> (2017)</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01E4C" w14:textId="77777777" w:rsidR="00C17CC9" w:rsidRDefault="00C17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938C2" w14:textId="77777777" w:rsidR="003C4B4D" w:rsidRDefault="003C4B4D" w:rsidP="00C17CC9">
      <w:r>
        <w:separator/>
      </w:r>
    </w:p>
  </w:footnote>
  <w:footnote w:type="continuationSeparator" w:id="0">
    <w:p w14:paraId="31F737FD" w14:textId="77777777" w:rsidR="003C4B4D" w:rsidRDefault="003C4B4D" w:rsidP="00C17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FF53B" w14:textId="77777777" w:rsidR="00C17CC9" w:rsidRDefault="00C17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48B35" w14:textId="77777777" w:rsidR="00C17CC9" w:rsidRDefault="00C17C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D5E9" w14:textId="77777777" w:rsidR="00C17CC9" w:rsidRDefault="00C17C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000004"/>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41F45B2"/>
    <w:multiLevelType w:val="hybridMultilevel"/>
    <w:tmpl w:val="12C8CB72"/>
    <w:lvl w:ilvl="0" w:tplc="7418395E">
      <w:start w:val="1"/>
      <w:numFmt w:val="bullet"/>
      <w:lvlText w:val=""/>
      <w:lvlJc w:val="left"/>
      <w:pPr>
        <w:tabs>
          <w:tab w:val="num" w:pos="1080"/>
        </w:tabs>
        <w:ind w:left="1080" w:hanging="360"/>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2520D"/>
    <w:multiLevelType w:val="multilevel"/>
    <w:tmpl w:val="0890CBBE"/>
    <w:lvl w:ilvl="0">
      <w:start w:val="1"/>
      <w:numFmt w:val="bullet"/>
      <w:lvlText w:val=""/>
      <w:lvlJc w:val="left"/>
      <w:pPr>
        <w:tabs>
          <w:tab w:val="num" w:pos="720"/>
        </w:tabs>
        <w:ind w:left="720" w:hanging="360"/>
      </w:pPr>
      <w:rPr>
        <w:rFonts w:ascii="Wingdings" w:hAnsi="Wingdings" w:hint="default"/>
        <w:sz w:val="16"/>
        <w:szCs w:val="16"/>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51136"/>
    <w:multiLevelType w:val="multilevel"/>
    <w:tmpl w:val="0118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76244"/>
    <w:multiLevelType w:val="hybridMultilevel"/>
    <w:tmpl w:val="9F54E4B2"/>
    <w:lvl w:ilvl="0" w:tplc="A86E2194">
      <w:start w:val="1"/>
      <w:numFmt w:val="bullet"/>
      <w:lvlText w:val=""/>
      <w:lvlJc w:val="left"/>
      <w:pPr>
        <w:tabs>
          <w:tab w:val="num" w:pos="1080"/>
        </w:tabs>
        <w:ind w:left="1080" w:hanging="360"/>
      </w:pPr>
      <w:rPr>
        <w:rFonts w:ascii="Wingdings" w:hAnsi="Wingdings"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126FFC"/>
    <w:multiLevelType w:val="multilevel"/>
    <w:tmpl w:val="CFD6E5C2"/>
    <w:lvl w:ilvl="0">
      <w:start w:val="1"/>
      <w:numFmt w:val="bullet"/>
      <w:lvlText w:val=""/>
      <w:lvlJc w:val="left"/>
      <w:pPr>
        <w:tabs>
          <w:tab w:val="num" w:pos="360"/>
        </w:tabs>
        <w:ind w:left="360" w:hanging="360"/>
      </w:pPr>
      <w:rPr>
        <w:rFonts w:ascii="Wingdings" w:hAnsi="Wingdings" w:hint="default"/>
        <w:sz w:val="16"/>
        <w:szCs w:val="16"/>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5BF17C79"/>
    <w:multiLevelType w:val="hybridMultilevel"/>
    <w:tmpl w:val="48CE94C4"/>
    <w:lvl w:ilvl="0" w:tplc="A0E06340">
      <w:start w:val="1"/>
      <w:numFmt w:val="bullet"/>
      <w:lvlText w:val=""/>
      <w:lvlJc w:val="left"/>
      <w:pPr>
        <w:ind w:left="1440" w:hanging="360"/>
      </w:pPr>
      <w:rPr>
        <w:rFonts w:ascii="Wingdings" w:hAnsi="Wingdings" w:hint="default"/>
        <w:sz w:val="18"/>
        <w:szCs w:val="18"/>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5D97341D"/>
    <w:multiLevelType w:val="hybridMultilevel"/>
    <w:tmpl w:val="2DA0A860"/>
    <w:lvl w:ilvl="0" w:tplc="CD664C6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num>
  <w:num w:numId="3">
    <w:abstractNumId w:val="5"/>
  </w:num>
  <w:num w:numId="4">
    <w:abstractNumId w:val="4"/>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BB"/>
    <w:rsid w:val="00011F89"/>
    <w:rsid w:val="00035587"/>
    <w:rsid w:val="000461FE"/>
    <w:rsid w:val="000B6ECF"/>
    <w:rsid w:val="000D7182"/>
    <w:rsid w:val="000E1624"/>
    <w:rsid w:val="000E4E7C"/>
    <w:rsid w:val="000E5D9C"/>
    <w:rsid w:val="000F31F6"/>
    <w:rsid w:val="00100398"/>
    <w:rsid w:val="0010639D"/>
    <w:rsid w:val="00130F45"/>
    <w:rsid w:val="001420F2"/>
    <w:rsid w:val="001755B1"/>
    <w:rsid w:val="0018178B"/>
    <w:rsid w:val="0022728C"/>
    <w:rsid w:val="00242DDE"/>
    <w:rsid w:val="002542C0"/>
    <w:rsid w:val="0026464F"/>
    <w:rsid w:val="002C75D1"/>
    <w:rsid w:val="002C7FFB"/>
    <w:rsid w:val="002E13AB"/>
    <w:rsid w:val="002F15C7"/>
    <w:rsid w:val="00316EC9"/>
    <w:rsid w:val="00323F60"/>
    <w:rsid w:val="003432A8"/>
    <w:rsid w:val="0035177D"/>
    <w:rsid w:val="00364B3A"/>
    <w:rsid w:val="003A3069"/>
    <w:rsid w:val="003A7C1C"/>
    <w:rsid w:val="003C4B4D"/>
    <w:rsid w:val="003D6396"/>
    <w:rsid w:val="003E369D"/>
    <w:rsid w:val="00400306"/>
    <w:rsid w:val="004016B8"/>
    <w:rsid w:val="004214E5"/>
    <w:rsid w:val="00486ADB"/>
    <w:rsid w:val="004A7ACA"/>
    <w:rsid w:val="004C2004"/>
    <w:rsid w:val="004C4EEF"/>
    <w:rsid w:val="004D3F7F"/>
    <w:rsid w:val="004E788F"/>
    <w:rsid w:val="0051098B"/>
    <w:rsid w:val="00542A5C"/>
    <w:rsid w:val="005572B4"/>
    <w:rsid w:val="00590430"/>
    <w:rsid w:val="00592DDA"/>
    <w:rsid w:val="005B5D25"/>
    <w:rsid w:val="005D4755"/>
    <w:rsid w:val="005E01F3"/>
    <w:rsid w:val="005E2086"/>
    <w:rsid w:val="00604B4F"/>
    <w:rsid w:val="00651683"/>
    <w:rsid w:val="006662CD"/>
    <w:rsid w:val="00672974"/>
    <w:rsid w:val="006764C1"/>
    <w:rsid w:val="0068570E"/>
    <w:rsid w:val="006938D6"/>
    <w:rsid w:val="006C545E"/>
    <w:rsid w:val="007060DB"/>
    <w:rsid w:val="00706867"/>
    <w:rsid w:val="00750BAA"/>
    <w:rsid w:val="00766D3F"/>
    <w:rsid w:val="007A25BB"/>
    <w:rsid w:val="007D38A9"/>
    <w:rsid w:val="00806780"/>
    <w:rsid w:val="0081207E"/>
    <w:rsid w:val="008623C1"/>
    <w:rsid w:val="008A0F6E"/>
    <w:rsid w:val="008B1094"/>
    <w:rsid w:val="008F1424"/>
    <w:rsid w:val="009172D6"/>
    <w:rsid w:val="00945BC3"/>
    <w:rsid w:val="009517D0"/>
    <w:rsid w:val="00973F95"/>
    <w:rsid w:val="00993BC7"/>
    <w:rsid w:val="009B2284"/>
    <w:rsid w:val="009B7EDD"/>
    <w:rsid w:val="009C78BC"/>
    <w:rsid w:val="009C7BA1"/>
    <w:rsid w:val="009D0FA4"/>
    <w:rsid w:val="00A10054"/>
    <w:rsid w:val="00A52AED"/>
    <w:rsid w:val="00A8439B"/>
    <w:rsid w:val="00AB48B7"/>
    <w:rsid w:val="00AF6D7F"/>
    <w:rsid w:val="00B00747"/>
    <w:rsid w:val="00B37060"/>
    <w:rsid w:val="00B50EBB"/>
    <w:rsid w:val="00BC212F"/>
    <w:rsid w:val="00BC34A5"/>
    <w:rsid w:val="00C17CC9"/>
    <w:rsid w:val="00C21BE6"/>
    <w:rsid w:val="00C34F7D"/>
    <w:rsid w:val="00C62ACD"/>
    <w:rsid w:val="00C71D29"/>
    <w:rsid w:val="00CC391B"/>
    <w:rsid w:val="00CC7927"/>
    <w:rsid w:val="00CE45D5"/>
    <w:rsid w:val="00CF3681"/>
    <w:rsid w:val="00D06EA3"/>
    <w:rsid w:val="00D34FF6"/>
    <w:rsid w:val="00D639C1"/>
    <w:rsid w:val="00D83D2F"/>
    <w:rsid w:val="00D846AA"/>
    <w:rsid w:val="00DD5A83"/>
    <w:rsid w:val="00DE4B4E"/>
    <w:rsid w:val="00DF0D0B"/>
    <w:rsid w:val="00DF6C20"/>
    <w:rsid w:val="00E25A1D"/>
    <w:rsid w:val="00E66108"/>
    <w:rsid w:val="00ED419E"/>
    <w:rsid w:val="00EF2844"/>
    <w:rsid w:val="00F24120"/>
    <w:rsid w:val="00F74A03"/>
    <w:rsid w:val="00F96841"/>
    <w:rsid w:val="00FD0E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DA132"/>
  <w15:docId w15:val="{2E6D493B-10DB-44B4-A78D-AE33A8FA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szCs w:val="22"/>
    </w:rPr>
  </w:style>
  <w:style w:type="paragraph" w:styleId="Heading1">
    <w:name w:val="heading 1"/>
    <w:basedOn w:val="Normal"/>
    <w:next w:val="Normal"/>
    <w:link w:val="Heading1Char"/>
    <w:qFormat/>
    <w:rsid w:val="0068570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A25BB"/>
    <w:pPr>
      <w:widowControl w:val="0"/>
      <w:autoSpaceDE w:val="0"/>
      <w:autoSpaceDN w:val="0"/>
      <w:adjustRightInd w:val="0"/>
      <w:outlineLvl w:val="0"/>
    </w:pPr>
    <w:rPr>
      <w:rFonts w:ascii="Times New Roman" w:hAnsi="Times New Roman"/>
      <w:sz w:val="24"/>
      <w:szCs w:val="24"/>
      <w:lang w:val="en-US"/>
    </w:rPr>
  </w:style>
  <w:style w:type="paragraph" w:styleId="ListParagraph">
    <w:name w:val="List Paragraph"/>
    <w:basedOn w:val="Normal"/>
    <w:uiPriority w:val="34"/>
    <w:qFormat/>
    <w:rsid w:val="00651683"/>
    <w:pPr>
      <w:ind w:left="720"/>
      <w:contextualSpacing/>
    </w:pPr>
  </w:style>
  <w:style w:type="character" w:customStyle="1" w:styleId="Heading1Char">
    <w:name w:val="Heading 1 Char"/>
    <w:basedOn w:val="DefaultParagraphFont"/>
    <w:link w:val="Heading1"/>
    <w:rsid w:val="0068570E"/>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semiHidden/>
    <w:unhideWhenUsed/>
    <w:rsid w:val="000B6ECF"/>
    <w:rPr>
      <w:rFonts w:ascii="Segoe UI" w:hAnsi="Segoe UI" w:cs="Segoe UI"/>
      <w:sz w:val="18"/>
      <w:szCs w:val="18"/>
    </w:rPr>
  </w:style>
  <w:style w:type="character" w:customStyle="1" w:styleId="BalloonTextChar">
    <w:name w:val="Balloon Text Char"/>
    <w:basedOn w:val="DefaultParagraphFont"/>
    <w:link w:val="BalloonText"/>
    <w:semiHidden/>
    <w:rsid w:val="000B6ECF"/>
    <w:rPr>
      <w:rFonts w:ascii="Segoe UI" w:hAnsi="Segoe UI" w:cs="Segoe UI"/>
      <w:sz w:val="18"/>
      <w:szCs w:val="18"/>
    </w:rPr>
  </w:style>
  <w:style w:type="paragraph" w:styleId="Header">
    <w:name w:val="header"/>
    <w:basedOn w:val="Normal"/>
    <w:link w:val="HeaderChar"/>
    <w:unhideWhenUsed/>
    <w:rsid w:val="00C17CC9"/>
    <w:pPr>
      <w:tabs>
        <w:tab w:val="center" w:pos="4513"/>
        <w:tab w:val="right" w:pos="9026"/>
      </w:tabs>
    </w:pPr>
  </w:style>
  <w:style w:type="character" w:customStyle="1" w:styleId="HeaderChar">
    <w:name w:val="Header Char"/>
    <w:basedOn w:val="DefaultParagraphFont"/>
    <w:link w:val="Header"/>
    <w:rsid w:val="00C17CC9"/>
    <w:rPr>
      <w:rFonts w:ascii="Calibri" w:hAnsi="Calibri"/>
      <w:sz w:val="22"/>
      <w:szCs w:val="22"/>
    </w:rPr>
  </w:style>
  <w:style w:type="paragraph" w:styleId="Footer">
    <w:name w:val="footer"/>
    <w:basedOn w:val="Normal"/>
    <w:link w:val="FooterChar"/>
    <w:unhideWhenUsed/>
    <w:rsid w:val="00C17CC9"/>
    <w:pPr>
      <w:tabs>
        <w:tab w:val="center" w:pos="4513"/>
        <w:tab w:val="right" w:pos="9026"/>
      </w:tabs>
    </w:pPr>
  </w:style>
  <w:style w:type="character" w:customStyle="1" w:styleId="FooterChar">
    <w:name w:val="Footer Char"/>
    <w:basedOn w:val="DefaultParagraphFont"/>
    <w:link w:val="Footer"/>
    <w:rsid w:val="00C17CC9"/>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La Trobe University</Company>
  <LinksUpToDate>false</LinksUpToDate>
  <CharactersWithSpaces>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Rees</dc:creator>
  <cp:lastModifiedBy>Fiona Rowley</cp:lastModifiedBy>
  <cp:revision>7</cp:revision>
  <cp:lastPrinted>2017-06-13T02:15:00Z</cp:lastPrinted>
  <dcterms:created xsi:type="dcterms:W3CDTF">2017-06-13T02:15:00Z</dcterms:created>
  <dcterms:modified xsi:type="dcterms:W3CDTF">2017-06-13T02:19:00Z</dcterms:modified>
</cp:coreProperties>
</file>