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B5A" w:rsidRDefault="003D0FB6">
      <w:pPr>
        <w:spacing w:after="0" w:line="259" w:lineRule="auto"/>
        <w:ind w:left="6316" w:right="-21" w:firstLine="0"/>
      </w:pPr>
      <w:bookmarkStart w:id="0" w:name="_GoBack"/>
      <w:bookmarkEnd w:id="0"/>
      <w:r>
        <w:rPr>
          <w:noProof/>
        </w:rPr>
        <w:drawing>
          <wp:inline distT="0" distB="0" distL="0" distR="0">
            <wp:extent cx="2829204" cy="9525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2829204" cy="952500"/>
                    </a:xfrm>
                    <a:prstGeom prst="rect">
                      <a:avLst/>
                    </a:prstGeom>
                  </pic:spPr>
                </pic:pic>
              </a:graphicData>
            </a:graphic>
          </wp:inline>
        </w:drawing>
      </w:r>
    </w:p>
    <w:p w:rsidR="002A1B5A" w:rsidRPr="004A0F5C" w:rsidRDefault="004A0F5C">
      <w:pPr>
        <w:spacing w:after="271" w:line="259" w:lineRule="auto"/>
        <w:ind w:left="-5"/>
        <w:rPr>
          <w:rFonts w:asciiTheme="minorHAnsi" w:hAnsiTheme="minorHAnsi" w:cs="Arial"/>
          <w:b/>
          <w:color w:val="auto"/>
          <w:sz w:val="40"/>
          <w:szCs w:val="40"/>
        </w:rPr>
      </w:pPr>
      <w:r w:rsidRPr="004A0F5C">
        <w:rPr>
          <w:rFonts w:asciiTheme="minorHAnsi" w:hAnsiTheme="minorHAnsi" w:cs="Arial"/>
          <w:b/>
          <w:color w:val="auto"/>
          <w:sz w:val="40"/>
          <w:szCs w:val="40"/>
        </w:rPr>
        <w:t>Assessment Standard</w:t>
      </w:r>
    </w:p>
    <w:p w:rsidR="002A1B5A" w:rsidRDefault="003D0FB6">
      <w:pPr>
        <w:pStyle w:val="Heading1"/>
        <w:ind w:left="-5"/>
      </w:pPr>
      <w:r>
        <w:t>Section 1 - Background and Purpose</w:t>
      </w:r>
    </w:p>
    <w:p w:rsidR="00830080" w:rsidRPr="004A0F5C" w:rsidRDefault="00332C17" w:rsidP="004A0F5C">
      <w:pPr>
        <w:rPr>
          <w:rFonts w:asciiTheme="majorHAnsi" w:hAnsiTheme="majorHAnsi"/>
          <w:szCs w:val="20"/>
        </w:rPr>
      </w:pPr>
      <w:r>
        <w:rPr>
          <w:rFonts w:asciiTheme="majorHAnsi" w:hAnsiTheme="majorHAnsi"/>
          <w:szCs w:val="20"/>
        </w:rPr>
        <w:t>(1) This s</w:t>
      </w:r>
      <w:r w:rsidR="004A0F5C">
        <w:rPr>
          <w:rFonts w:asciiTheme="majorHAnsi" w:hAnsiTheme="majorHAnsi"/>
          <w:szCs w:val="20"/>
        </w:rPr>
        <w:t>tandard provide</w:t>
      </w:r>
      <w:r>
        <w:rPr>
          <w:rFonts w:asciiTheme="majorHAnsi" w:hAnsiTheme="majorHAnsi"/>
          <w:szCs w:val="20"/>
        </w:rPr>
        <w:t>s</w:t>
      </w:r>
      <w:r w:rsidR="004A0F5C">
        <w:rPr>
          <w:rFonts w:asciiTheme="majorHAnsi" w:hAnsiTheme="majorHAnsi"/>
          <w:szCs w:val="20"/>
        </w:rPr>
        <w:t xml:space="preserve"> academic staff with a benchmark for the design of assessment in coursework subjects.</w:t>
      </w:r>
      <w:r w:rsidR="00B0726B" w:rsidRPr="00B0726B">
        <w:rPr>
          <w:rFonts w:asciiTheme="minorHAnsi" w:hAnsiTheme="minorHAnsi" w:cs="Arial"/>
          <w:color w:val="0000FF"/>
          <w:sz w:val="22"/>
        </w:rPr>
        <w:t xml:space="preserve"> </w:t>
      </w:r>
    </w:p>
    <w:p w:rsidR="0004236D" w:rsidRPr="0004236D" w:rsidRDefault="003D0FB6" w:rsidP="0004236D">
      <w:pPr>
        <w:spacing w:after="87" w:line="259" w:lineRule="auto"/>
        <w:ind w:left="-5"/>
      </w:pPr>
      <w:r>
        <w:rPr>
          <w:b/>
          <w:sz w:val="40"/>
        </w:rPr>
        <w:t>Section 2 - Scope</w:t>
      </w:r>
    </w:p>
    <w:p w:rsidR="00824EAD" w:rsidRPr="004A0F5C" w:rsidRDefault="004A0F5C" w:rsidP="004A0F5C">
      <w:pPr>
        <w:rPr>
          <w:rFonts w:asciiTheme="majorHAnsi" w:hAnsiTheme="majorHAnsi"/>
          <w:szCs w:val="20"/>
        </w:rPr>
      </w:pPr>
      <w:r>
        <w:rPr>
          <w:rFonts w:asciiTheme="majorHAnsi" w:hAnsiTheme="majorHAnsi"/>
          <w:szCs w:val="20"/>
        </w:rPr>
        <w:t xml:space="preserve">(2) </w:t>
      </w:r>
      <w:r w:rsidRPr="009B6BDA">
        <w:rPr>
          <w:rFonts w:asciiTheme="majorHAnsi" w:hAnsiTheme="majorHAnsi"/>
          <w:szCs w:val="20"/>
        </w:rPr>
        <w:t xml:space="preserve">This </w:t>
      </w:r>
      <w:r w:rsidR="00332C17">
        <w:rPr>
          <w:rFonts w:asciiTheme="majorHAnsi" w:hAnsiTheme="majorHAnsi"/>
          <w:szCs w:val="20"/>
        </w:rPr>
        <w:t>s</w:t>
      </w:r>
      <w:r>
        <w:rPr>
          <w:rFonts w:asciiTheme="majorHAnsi" w:hAnsiTheme="majorHAnsi"/>
          <w:szCs w:val="20"/>
        </w:rPr>
        <w:t>tandard</w:t>
      </w:r>
      <w:r w:rsidRPr="009B6BDA">
        <w:rPr>
          <w:rFonts w:asciiTheme="majorHAnsi" w:hAnsiTheme="majorHAnsi"/>
          <w:szCs w:val="20"/>
        </w:rPr>
        <w:t xml:space="preserve"> applies to all coursework </w:t>
      </w:r>
      <w:r>
        <w:rPr>
          <w:rFonts w:asciiTheme="majorHAnsi" w:hAnsiTheme="majorHAnsi"/>
          <w:szCs w:val="20"/>
        </w:rPr>
        <w:t>subjects</w:t>
      </w:r>
      <w:r w:rsidR="00332C17">
        <w:rPr>
          <w:rFonts w:asciiTheme="majorHAnsi" w:hAnsiTheme="majorHAnsi"/>
          <w:szCs w:val="20"/>
        </w:rPr>
        <w:t xml:space="preserve"> in award and non-award credentialed courses</w:t>
      </w:r>
      <w:r w:rsidRPr="009B6BDA">
        <w:rPr>
          <w:rFonts w:asciiTheme="majorHAnsi" w:hAnsiTheme="majorHAnsi"/>
          <w:szCs w:val="20"/>
        </w:rPr>
        <w:t>, regardless of mode or location.</w:t>
      </w:r>
    </w:p>
    <w:p w:rsidR="002A1B5A" w:rsidRDefault="003D0FB6">
      <w:pPr>
        <w:spacing w:after="87" w:line="259" w:lineRule="auto"/>
        <w:ind w:left="-5"/>
      </w:pPr>
      <w:r>
        <w:rPr>
          <w:b/>
          <w:sz w:val="40"/>
        </w:rPr>
        <w:t>Section 3 - Policy Statement</w:t>
      </w:r>
    </w:p>
    <w:p w:rsidR="004A0F5C" w:rsidRPr="004A0F5C" w:rsidRDefault="004A0F5C" w:rsidP="004A0F5C">
      <w:pPr>
        <w:tabs>
          <w:tab w:val="left" w:pos="284"/>
        </w:tabs>
        <w:rPr>
          <w:rFonts w:asciiTheme="majorHAnsi" w:hAnsiTheme="majorHAnsi"/>
          <w:szCs w:val="20"/>
        </w:rPr>
      </w:pPr>
      <w:r>
        <w:rPr>
          <w:rFonts w:asciiTheme="majorHAnsi" w:hAnsiTheme="majorHAnsi"/>
          <w:szCs w:val="20"/>
        </w:rPr>
        <w:t>(3)</w:t>
      </w:r>
      <w:r>
        <w:rPr>
          <w:rFonts w:asciiTheme="majorHAnsi" w:hAnsiTheme="majorHAnsi"/>
          <w:szCs w:val="20"/>
        </w:rPr>
        <w:tab/>
        <w:t>Refer to the Assessment Policy.</w:t>
      </w:r>
    </w:p>
    <w:p w:rsidR="002A1B5A" w:rsidRDefault="003D0FB6">
      <w:pPr>
        <w:pStyle w:val="Heading1"/>
        <w:ind w:left="-5"/>
      </w:pPr>
      <w:r>
        <w:t xml:space="preserve">Section 4 </w:t>
      </w:r>
      <w:r w:rsidR="00824EAD">
        <w:t>–</w:t>
      </w:r>
      <w:r>
        <w:t xml:space="preserve"> </w:t>
      </w:r>
      <w:r w:rsidR="004A0F5C">
        <w:t>Standard</w:t>
      </w:r>
    </w:p>
    <w:p w:rsidR="004A0F5C" w:rsidRDefault="004A0F5C" w:rsidP="004A0F5C">
      <w:pPr>
        <w:ind w:left="284" w:hanging="284"/>
        <w:rPr>
          <w:rFonts w:asciiTheme="majorHAnsi" w:hAnsiTheme="majorHAnsi"/>
          <w:b/>
          <w:sz w:val="24"/>
          <w:szCs w:val="24"/>
        </w:rPr>
      </w:pPr>
      <w:r>
        <w:rPr>
          <w:rFonts w:asciiTheme="majorHAnsi" w:hAnsiTheme="majorHAnsi"/>
          <w:b/>
          <w:sz w:val="24"/>
          <w:szCs w:val="24"/>
        </w:rPr>
        <w:t>Assessment types</w:t>
      </w:r>
    </w:p>
    <w:p w:rsidR="00332C17" w:rsidRPr="00332C17" w:rsidRDefault="00332C17" w:rsidP="004A0F5C">
      <w:pPr>
        <w:ind w:left="284" w:hanging="284"/>
        <w:rPr>
          <w:rFonts w:asciiTheme="majorHAnsi" w:hAnsiTheme="majorHAnsi"/>
          <w:szCs w:val="20"/>
        </w:rPr>
      </w:pPr>
      <w:r w:rsidRPr="00332C17">
        <w:rPr>
          <w:rFonts w:asciiTheme="majorHAnsi" w:hAnsiTheme="majorHAnsi"/>
          <w:szCs w:val="20"/>
        </w:rPr>
        <w:t>In each coursework subject:</w:t>
      </w:r>
    </w:p>
    <w:p w:rsidR="004A0F5C" w:rsidRPr="004A0F5C" w:rsidRDefault="004A0F5C" w:rsidP="004A0F5C">
      <w:pPr>
        <w:pStyle w:val="ListParagraph"/>
        <w:numPr>
          <w:ilvl w:val="0"/>
          <w:numId w:val="16"/>
        </w:numPr>
        <w:spacing w:after="160" w:line="259" w:lineRule="auto"/>
        <w:ind w:left="425" w:hanging="425"/>
        <w:contextualSpacing w:val="0"/>
        <w:rPr>
          <w:rFonts w:asciiTheme="majorHAnsi" w:hAnsiTheme="majorHAnsi"/>
          <w:szCs w:val="20"/>
        </w:rPr>
      </w:pPr>
      <w:r w:rsidRPr="004A0F5C">
        <w:rPr>
          <w:rFonts w:asciiTheme="majorHAnsi" w:hAnsiTheme="majorHAnsi"/>
          <w:szCs w:val="20"/>
        </w:rPr>
        <w:t xml:space="preserve">The variety, weightings and sizes of assessment tasks enable students to demonstrate their ability, meet the Student Assessment Workload Guidelines and are commensurate with the Australian Qualifications Framework levels.  </w:t>
      </w:r>
    </w:p>
    <w:p w:rsidR="004A0F5C" w:rsidRPr="004A0F5C" w:rsidRDefault="00332C17" w:rsidP="004A0F5C">
      <w:pPr>
        <w:pStyle w:val="ListParagraph"/>
        <w:numPr>
          <w:ilvl w:val="0"/>
          <w:numId w:val="16"/>
        </w:numPr>
        <w:spacing w:after="160" w:line="259" w:lineRule="auto"/>
        <w:ind w:left="425" w:hanging="425"/>
        <w:contextualSpacing w:val="0"/>
        <w:rPr>
          <w:rFonts w:asciiTheme="majorHAnsi" w:hAnsiTheme="majorHAnsi"/>
          <w:szCs w:val="20"/>
        </w:rPr>
      </w:pPr>
      <w:r>
        <w:rPr>
          <w:rFonts w:asciiTheme="majorHAnsi" w:hAnsiTheme="majorHAnsi"/>
          <w:szCs w:val="20"/>
        </w:rPr>
        <w:t>A</w:t>
      </w:r>
      <w:r w:rsidR="004A0F5C" w:rsidRPr="004A0F5C">
        <w:rPr>
          <w:rFonts w:asciiTheme="majorHAnsi" w:hAnsiTheme="majorHAnsi"/>
          <w:szCs w:val="20"/>
        </w:rPr>
        <w:t xml:space="preserve"> minor assessment task </w:t>
      </w:r>
      <w:r>
        <w:rPr>
          <w:rFonts w:asciiTheme="majorHAnsi" w:hAnsiTheme="majorHAnsi"/>
          <w:szCs w:val="20"/>
        </w:rPr>
        <w:t xml:space="preserve">is </w:t>
      </w:r>
      <w:r w:rsidR="004A0F5C" w:rsidRPr="004A0F5C">
        <w:rPr>
          <w:rFonts w:asciiTheme="majorHAnsi" w:hAnsiTheme="majorHAnsi"/>
          <w:szCs w:val="20"/>
        </w:rPr>
        <w:t>conducted within the first half of the relevant teaching period and returned to students with sufficient time for them to apply the feedback to subsequent learning and assessment.</w:t>
      </w:r>
    </w:p>
    <w:p w:rsidR="004A0F5C" w:rsidRPr="0056080A" w:rsidRDefault="004A0F5C" w:rsidP="004A0F5C">
      <w:pPr>
        <w:pStyle w:val="ListParagraph"/>
        <w:numPr>
          <w:ilvl w:val="0"/>
          <w:numId w:val="16"/>
        </w:numPr>
        <w:spacing w:after="160" w:line="259" w:lineRule="auto"/>
        <w:ind w:left="425" w:hanging="425"/>
        <w:contextualSpacing w:val="0"/>
        <w:rPr>
          <w:rFonts w:asciiTheme="majorHAnsi" w:hAnsiTheme="majorHAnsi"/>
          <w:szCs w:val="20"/>
        </w:rPr>
      </w:pPr>
      <w:r>
        <w:rPr>
          <w:rFonts w:asciiTheme="majorHAnsi" w:hAnsiTheme="majorHAnsi"/>
          <w:szCs w:val="20"/>
        </w:rPr>
        <w:t>T</w:t>
      </w:r>
      <w:r w:rsidRPr="0056080A">
        <w:rPr>
          <w:rFonts w:asciiTheme="majorHAnsi" w:hAnsiTheme="majorHAnsi"/>
          <w:szCs w:val="20"/>
        </w:rPr>
        <w:t>here are at least two, and no more than three, major assessment tasks, where a major assessment task represents 20% or more of the final grade and is not a composite of many small assessment tasks</w:t>
      </w:r>
      <w:r>
        <w:rPr>
          <w:rFonts w:asciiTheme="majorHAnsi" w:hAnsiTheme="majorHAnsi"/>
          <w:szCs w:val="20"/>
        </w:rPr>
        <w:t>.</w:t>
      </w:r>
      <w:r w:rsidRPr="0056080A">
        <w:rPr>
          <w:rFonts w:asciiTheme="majorHAnsi" w:hAnsiTheme="majorHAnsi"/>
          <w:szCs w:val="20"/>
        </w:rPr>
        <w:t xml:space="preserve"> </w:t>
      </w:r>
    </w:p>
    <w:p w:rsidR="004A0F5C" w:rsidRPr="0056080A" w:rsidRDefault="004A0F5C" w:rsidP="004A0F5C">
      <w:pPr>
        <w:pStyle w:val="ListParagraph"/>
        <w:numPr>
          <w:ilvl w:val="0"/>
          <w:numId w:val="16"/>
        </w:numPr>
        <w:spacing w:after="160" w:line="259" w:lineRule="auto"/>
        <w:ind w:left="426" w:hanging="426"/>
        <w:contextualSpacing w:val="0"/>
        <w:rPr>
          <w:rFonts w:asciiTheme="majorHAnsi" w:hAnsiTheme="majorHAnsi"/>
          <w:szCs w:val="20"/>
        </w:rPr>
      </w:pPr>
      <w:r>
        <w:rPr>
          <w:rFonts w:asciiTheme="majorHAnsi" w:hAnsiTheme="majorHAnsi"/>
          <w:szCs w:val="20"/>
        </w:rPr>
        <w:t>N</w:t>
      </w:r>
      <w:r w:rsidRPr="0056080A">
        <w:rPr>
          <w:rFonts w:asciiTheme="majorHAnsi" w:hAnsiTheme="majorHAnsi"/>
          <w:szCs w:val="20"/>
        </w:rPr>
        <w:t>o individual assessment is worth more than 70% of the final grade in non-thesis subjects</w:t>
      </w:r>
      <w:r>
        <w:rPr>
          <w:rFonts w:asciiTheme="majorHAnsi" w:hAnsiTheme="majorHAnsi"/>
          <w:szCs w:val="20"/>
        </w:rPr>
        <w:t>.</w:t>
      </w:r>
    </w:p>
    <w:p w:rsidR="004A0F5C" w:rsidRPr="0056080A" w:rsidRDefault="004A0F5C" w:rsidP="004A0F5C">
      <w:pPr>
        <w:pStyle w:val="ListParagraph"/>
        <w:numPr>
          <w:ilvl w:val="0"/>
          <w:numId w:val="16"/>
        </w:numPr>
        <w:spacing w:after="160" w:line="259" w:lineRule="auto"/>
        <w:ind w:left="426" w:hanging="426"/>
        <w:contextualSpacing w:val="0"/>
        <w:rPr>
          <w:rFonts w:asciiTheme="majorHAnsi" w:hAnsiTheme="majorHAnsi"/>
          <w:szCs w:val="20"/>
        </w:rPr>
      </w:pPr>
      <w:r>
        <w:rPr>
          <w:rFonts w:asciiTheme="majorHAnsi" w:hAnsiTheme="majorHAnsi"/>
          <w:szCs w:val="20"/>
        </w:rPr>
        <w:t>N</w:t>
      </w:r>
      <w:r w:rsidRPr="0056080A">
        <w:rPr>
          <w:rFonts w:asciiTheme="majorHAnsi" w:hAnsiTheme="majorHAnsi"/>
          <w:szCs w:val="20"/>
        </w:rPr>
        <w:t>o more than 30% of the final mark is determined using group assessment only</w:t>
      </w:r>
      <w:r>
        <w:rPr>
          <w:rFonts w:asciiTheme="majorHAnsi" w:hAnsiTheme="majorHAnsi"/>
          <w:szCs w:val="20"/>
        </w:rPr>
        <w:t>.</w:t>
      </w:r>
    </w:p>
    <w:p w:rsidR="004A0F5C" w:rsidRPr="0056080A" w:rsidRDefault="004A0F5C" w:rsidP="004A0F5C">
      <w:pPr>
        <w:pStyle w:val="ListParagraph"/>
        <w:numPr>
          <w:ilvl w:val="0"/>
          <w:numId w:val="16"/>
        </w:numPr>
        <w:spacing w:after="160" w:line="22" w:lineRule="atLeast"/>
        <w:ind w:left="426" w:right="11" w:hanging="426"/>
        <w:contextualSpacing w:val="0"/>
        <w:rPr>
          <w:rFonts w:asciiTheme="majorHAnsi" w:hAnsiTheme="majorHAnsi"/>
          <w:bCs/>
          <w:szCs w:val="20"/>
        </w:rPr>
      </w:pPr>
      <w:r>
        <w:rPr>
          <w:rFonts w:asciiTheme="majorHAnsi" w:hAnsiTheme="majorHAnsi"/>
          <w:szCs w:val="20"/>
        </w:rPr>
        <w:t>G</w:t>
      </w:r>
      <w:r w:rsidRPr="0056080A">
        <w:rPr>
          <w:rFonts w:asciiTheme="majorHAnsi" w:hAnsiTheme="majorHAnsi"/>
          <w:szCs w:val="20"/>
        </w:rPr>
        <w:t>roup assignments of more than 30% include at least 50% individual assessment</w:t>
      </w:r>
      <w:r>
        <w:rPr>
          <w:rFonts w:asciiTheme="majorHAnsi" w:hAnsiTheme="majorHAnsi"/>
          <w:szCs w:val="20"/>
        </w:rPr>
        <w:t>.</w:t>
      </w:r>
      <w:r w:rsidRPr="0056080A">
        <w:rPr>
          <w:rFonts w:asciiTheme="majorHAnsi" w:hAnsiTheme="majorHAnsi"/>
          <w:szCs w:val="20"/>
        </w:rPr>
        <w:t xml:space="preserve"> </w:t>
      </w:r>
    </w:p>
    <w:p w:rsidR="004A0F5C" w:rsidRDefault="004A0F5C" w:rsidP="004A0F5C">
      <w:pPr>
        <w:pStyle w:val="ListParagraph"/>
        <w:numPr>
          <w:ilvl w:val="0"/>
          <w:numId w:val="16"/>
        </w:numPr>
        <w:spacing w:after="160" w:line="259" w:lineRule="auto"/>
        <w:ind w:left="426" w:hanging="426"/>
        <w:contextualSpacing w:val="0"/>
        <w:rPr>
          <w:rFonts w:asciiTheme="majorHAnsi" w:hAnsiTheme="majorHAnsi"/>
          <w:szCs w:val="20"/>
        </w:rPr>
      </w:pPr>
      <w:r w:rsidRPr="0056080A">
        <w:rPr>
          <w:rFonts w:asciiTheme="majorHAnsi" w:hAnsiTheme="majorHAnsi"/>
          <w:szCs w:val="20"/>
        </w:rPr>
        <w:t>Hurdle requirements are acceptable forms of assessment only when there is a clear and compelling academic rationale based on professional requirements (such as mandatory OH&amp;S training)</w:t>
      </w:r>
      <w:r w:rsidR="00332C17">
        <w:rPr>
          <w:rFonts w:asciiTheme="majorHAnsi" w:hAnsiTheme="majorHAnsi"/>
          <w:szCs w:val="20"/>
        </w:rPr>
        <w:t xml:space="preserve"> that is articulated at the subject approval stage</w:t>
      </w:r>
      <w:r w:rsidRPr="0056080A">
        <w:rPr>
          <w:rFonts w:asciiTheme="majorHAnsi" w:hAnsiTheme="majorHAnsi"/>
          <w:szCs w:val="20"/>
        </w:rPr>
        <w:t>.</w:t>
      </w:r>
    </w:p>
    <w:p w:rsidR="004A0F5C" w:rsidRPr="0056080A" w:rsidRDefault="004A0F5C" w:rsidP="004A0F5C">
      <w:pPr>
        <w:pStyle w:val="ListParagraph"/>
        <w:numPr>
          <w:ilvl w:val="0"/>
          <w:numId w:val="16"/>
        </w:numPr>
        <w:spacing w:after="160" w:line="259" w:lineRule="auto"/>
        <w:ind w:left="426" w:hanging="426"/>
        <w:contextualSpacing w:val="0"/>
        <w:rPr>
          <w:rFonts w:asciiTheme="majorHAnsi" w:hAnsiTheme="majorHAnsi"/>
          <w:szCs w:val="20"/>
        </w:rPr>
      </w:pPr>
      <w:r w:rsidRPr="0056080A">
        <w:rPr>
          <w:rFonts w:asciiTheme="majorHAnsi" w:hAnsiTheme="majorHAnsi"/>
          <w:szCs w:val="20"/>
        </w:rPr>
        <w:t>Attendance and participation are not the subject of summative assessment excepting where demonstrably required to complete the learning activity (such as attendance at a placement)</w:t>
      </w:r>
      <w:r>
        <w:rPr>
          <w:rFonts w:asciiTheme="majorHAnsi" w:hAnsiTheme="majorHAnsi"/>
          <w:szCs w:val="20"/>
        </w:rPr>
        <w:t>.</w:t>
      </w:r>
    </w:p>
    <w:p w:rsidR="004A0F5C" w:rsidRPr="004461FC" w:rsidRDefault="004A0F5C" w:rsidP="004A0F5C">
      <w:pPr>
        <w:ind w:left="426" w:hanging="426"/>
        <w:rPr>
          <w:b/>
          <w:sz w:val="24"/>
          <w:szCs w:val="24"/>
        </w:rPr>
      </w:pPr>
      <w:r w:rsidRPr="004461FC">
        <w:rPr>
          <w:rFonts w:asciiTheme="majorHAnsi" w:hAnsiTheme="majorHAnsi"/>
          <w:b/>
          <w:sz w:val="24"/>
          <w:szCs w:val="24"/>
        </w:rPr>
        <w:t>Assuring equity and transparency</w:t>
      </w:r>
    </w:p>
    <w:p w:rsidR="004A0F5C" w:rsidRPr="0056080A" w:rsidRDefault="004A0F5C" w:rsidP="004A0F5C">
      <w:pPr>
        <w:pStyle w:val="ListParagraph"/>
        <w:numPr>
          <w:ilvl w:val="0"/>
          <w:numId w:val="16"/>
        </w:numPr>
        <w:spacing w:after="120" w:line="259" w:lineRule="auto"/>
        <w:ind w:left="426" w:hanging="426"/>
        <w:contextualSpacing w:val="0"/>
        <w:rPr>
          <w:rFonts w:asciiTheme="majorHAnsi" w:hAnsiTheme="majorHAnsi"/>
          <w:szCs w:val="20"/>
        </w:rPr>
      </w:pPr>
      <w:r w:rsidRPr="0056080A">
        <w:rPr>
          <w:rFonts w:asciiTheme="majorHAnsi" w:hAnsiTheme="majorHAnsi"/>
          <w:szCs w:val="20"/>
        </w:rPr>
        <w:t>Students are provided sufficient notice of assessment to prepare effectively. Assessment and criteria must be finalised at least two weeks prior to the commencement of the teaching period, and may not be altered after that time</w:t>
      </w:r>
      <w:r>
        <w:rPr>
          <w:rFonts w:asciiTheme="majorHAnsi" w:hAnsiTheme="majorHAnsi"/>
          <w:szCs w:val="20"/>
        </w:rPr>
        <w:t>.</w:t>
      </w:r>
    </w:p>
    <w:p w:rsidR="004A0F5C" w:rsidRPr="0056080A" w:rsidRDefault="004A0F5C" w:rsidP="004A0F5C">
      <w:pPr>
        <w:pStyle w:val="ListParagraph"/>
        <w:numPr>
          <w:ilvl w:val="0"/>
          <w:numId w:val="16"/>
        </w:numPr>
        <w:spacing w:after="120" w:line="259" w:lineRule="auto"/>
        <w:ind w:left="426" w:hanging="426"/>
        <w:contextualSpacing w:val="0"/>
        <w:rPr>
          <w:rFonts w:asciiTheme="majorHAnsi" w:hAnsiTheme="majorHAnsi"/>
          <w:szCs w:val="20"/>
        </w:rPr>
      </w:pPr>
      <w:r w:rsidRPr="0056080A">
        <w:rPr>
          <w:rFonts w:asciiTheme="majorHAnsi" w:hAnsiTheme="majorHAnsi"/>
          <w:szCs w:val="20"/>
        </w:rPr>
        <w:t>All assessment details are provided to students in the Subject Learning Guides, including:</w:t>
      </w:r>
    </w:p>
    <w:p w:rsidR="004A0F5C" w:rsidRPr="0056080A" w:rsidRDefault="004A0F5C" w:rsidP="004A0F5C">
      <w:pPr>
        <w:pStyle w:val="ListParagraph"/>
        <w:numPr>
          <w:ilvl w:val="0"/>
          <w:numId w:val="14"/>
        </w:numPr>
        <w:spacing w:after="120" w:line="259" w:lineRule="auto"/>
        <w:ind w:left="851" w:hanging="425"/>
        <w:contextualSpacing w:val="0"/>
        <w:rPr>
          <w:rFonts w:asciiTheme="majorHAnsi" w:hAnsiTheme="majorHAnsi"/>
          <w:szCs w:val="20"/>
        </w:rPr>
      </w:pPr>
      <w:r w:rsidRPr="0056080A">
        <w:rPr>
          <w:rFonts w:asciiTheme="majorHAnsi" w:hAnsiTheme="majorHAnsi"/>
          <w:szCs w:val="20"/>
        </w:rPr>
        <w:t xml:space="preserve">the assessment weighting, types and timing of assessment </w:t>
      </w:r>
    </w:p>
    <w:p w:rsidR="004A0F5C" w:rsidRPr="0056080A" w:rsidRDefault="004A0F5C" w:rsidP="004A0F5C">
      <w:pPr>
        <w:tabs>
          <w:tab w:val="left" w:pos="1134"/>
        </w:tabs>
        <w:spacing w:after="120"/>
        <w:ind w:left="851" w:hanging="425"/>
        <w:rPr>
          <w:rFonts w:asciiTheme="majorHAnsi" w:hAnsiTheme="majorHAnsi"/>
          <w:szCs w:val="20"/>
        </w:rPr>
      </w:pPr>
      <w:r w:rsidRPr="0056080A">
        <w:rPr>
          <w:rFonts w:asciiTheme="majorHAnsi" w:hAnsiTheme="majorHAnsi"/>
          <w:szCs w:val="20"/>
        </w:rPr>
        <w:t>(b)</w:t>
      </w:r>
      <w:r>
        <w:rPr>
          <w:rFonts w:asciiTheme="majorHAnsi" w:hAnsiTheme="majorHAnsi"/>
          <w:szCs w:val="20"/>
        </w:rPr>
        <w:tab/>
      </w:r>
      <w:r w:rsidRPr="0056080A">
        <w:rPr>
          <w:rFonts w:asciiTheme="majorHAnsi" w:hAnsiTheme="majorHAnsi"/>
          <w:szCs w:val="20"/>
        </w:rPr>
        <w:t>assessment criteria, grading schemes and standards</w:t>
      </w:r>
    </w:p>
    <w:p w:rsidR="004A0F5C" w:rsidRPr="0056080A" w:rsidRDefault="004A0F5C" w:rsidP="004A0F5C">
      <w:pPr>
        <w:tabs>
          <w:tab w:val="left" w:pos="1134"/>
        </w:tabs>
        <w:spacing w:after="120"/>
        <w:ind w:left="851" w:hanging="425"/>
        <w:rPr>
          <w:rFonts w:asciiTheme="majorHAnsi" w:hAnsiTheme="majorHAnsi"/>
          <w:szCs w:val="20"/>
        </w:rPr>
      </w:pPr>
      <w:r>
        <w:rPr>
          <w:rFonts w:asciiTheme="majorHAnsi" w:hAnsiTheme="majorHAnsi"/>
          <w:szCs w:val="20"/>
        </w:rPr>
        <w:t>(c)</w:t>
      </w:r>
      <w:r>
        <w:rPr>
          <w:rFonts w:asciiTheme="majorHAnsi" w:hAnsiTheme="majorHAnsi"/>
          <w:szCs w:val="20"/>
        </w:rPr>
        <w:tab/>
      </w:r>
      <w:r w:rsidRPr="0056080A">
        <w:rPr>
          <w:rFonts w:asciiTheme="majorHAnsi" w:hAnsiTheme="majorHAnsi"/>
          <w:szCs w:val="20"/>
        </w:rPr>
        <w:t>the rationale and conditions for hurdle requirements</w:t>
      </w:r>
    </w:p>
    <w:p w:rsidR="004A0F5C" w:rsidRPr="0056080A" w:rsidRDefault="004A0F5C" w:rsidP="004A0F5C">
      <w:pPr>
        <w:pStyle w:val="ListParagraph"/>
        <w:numPr>
          <w:ilvl w:val="0"/>
          <w:numId w:val="15"/>
        </w:numPr>
        <w:spacing w:after="120" w:line="259" w:lineRule="auto"/>
        <w:ind w:left="851" w:hanging="425"/>
        <w:contextualSpacing w:val="0"/>
        <w:rPr>
          <w:rFonts w:asciiTheme="majorHAnsi" w:hAnsiTheme="majorHAnsi"/>
          <w:szCs w:val="20"/>
        </w:rPr>
      </w:pPr>
      <w:r w:rsidRPr="0056080A">
        <w:rPr>
          <w:rFonts w:asciiTheme="majorHAnsi" w:hAnsiTheme="majorHAnsi"/>
          <w:szCs w:val="20"/>
        </w:rPr>
        <w:lastRenderedPageBreak/>
        <w:t xml:space="preserve">the relationship between assessment and intended learning outcomes, and </w:t>
      </w:r>
    </w:p>
    <w:p w:rsidR="00332C17" w:rsidRDefault="00332C17" w:rsidP="004A0F5C">
      <w:pPr>
        <w:pStyle w:val="ListParagraph"/>
        <w:numPr>
          <w:ilvl w:val="0"/>
          <w:numId w:val="15"/>
        </w:numPr>
        <w:spacing w:after="120" w:line="259" w:lineRule="auto"/>
        <w:ind w:left="851" w:hanging="425"/>
        <w:contextualSpacing w:val="0"/>
        <w:rPr>
          <w:rFonts w:asciiTheme="majorHAnsi" w:hAnsiTheme="majorHAnsi"/>
          <w:szCs w:val="20"/>
        </w:rPr>
      </w:pPr>
      <w:r>
        <w:rPr>
          <w:rFonts w:asciiTheme="majorHAnsi" w:hAnsiTheme="majorHAnsi"/>
          <w:szCs w:val="20"/>
        </w:rPr>
        <w:t xml:space="preserve">penalties for late submission of tasks, and </w:t>
      </w:r>
    </w:p>
    <w:p w:rsidR="00332C17" w:rsidRDefault="00332C17" w:rsidP="004A0F5C">
      <w:pPr>
        <w:pStyle w:val="ListParagraph"/>
        <w:numPr>
          <w:ilvl w:val="0"/>
          <w:numId w:val="15"/>
        </w:numPr>
        <w:spacing w:after="120" w:line="259" w:lineRule="auto"/>
        <w:ind w:left="851" w:hanging="425"/>
        <w:contextualSpacing w:val="0"/>
        <w:rPr>
          <w:rFonts w:asciiTheme="majorHAnsi" w:hAnsiTheme="majorHAnsi"/>
          <w:szCs w:val="20"/>
        </w:rPr>
      </w:pPr>
      <w:r>
        <w:rPr>
          <w:rFonts w:asciiTheme="majorHAnsi" w:hAnsiTheme="majorHAnsi"/>
          <w:szCs w:val="20"/>
        </w:rPr>
        <w:t>what a student can do if they are experiencing circumstances that may adversely impact on their studies.</w:t>
      </w:r>
    </w:p>
    <w:p w:rsidR="004A0F5C" w:rsidRPr="0056080A" w:rsidRDefault="004A0F5C" w:rsidP="004A0F5C">
      <w:pPr>
        <w:pStyle w:val="ListParagraph"/>
        <w:numPr>
          <w:ilvl w:val="0"/>
          <w:numId w:val="16"/>
        </w:numPr>
        <w:spacing w:after="120" w:line="259" w:lineRule="auto"/>
        <w:ind w:left="426" w:hanging="426"/>
        <w:contextualSpacing w:val="0"/>
        <w:rPr>
          <w:rFonts w:asciiTheme="majorHAnsi" w:hAnsiTheme="majorHAnsi"/>
          <w:szCs w:val="20"/>
        </w:rPr>
      </w:pPr>
      <w:r>
        <w:rPr>
          <w:rFonts w:asciiTheme="majorHAnsi" w:hAnsiTheme="majorHAnsi"/>
          <w:szCs w:val="20"/>
        </w:rPr>
        <w:t>A</w:t>
      </w:r>
      <w:r w:rsidRPr="0056080A">
        <w:rPr>
          <w:rFonts w:asciiTheme="majorHAnsi" w:hAnsiTheme="majorHAnsi"/>
          <w:szCs w:val="20"/>
        </w:rPr>
        <w:t>ll examinations are marked anonymously, except in circumstances where this is not feasible, such as oral presentations or examination of practical skills</w:t>
      </w:r>
      <w:r>
        <w:rPr>
          <w:rFonts w:asciiTheme="majorHAnsi" w:hAnsiTheme="majorHAnsi"/>
          <w:szCs w:val="20"/>
        </w:rPr>
        <w:t>.</w:t>
      </w:r>
    </w:p>
    <w:p w:rsidR="004A0F5C" w:rsidRPr="004A0F5C" w:rsidRDefault="004A0F5C" w:rsidP="004A0F5C">
      <w:pPr>
        <w:pStyle w:val="ListParagraph"/>
        <w:numPr>
          <w:ilvl w:val="0"/>
          <w:numId w:val="16"/>
        </w:numPr>
        <w:spacing w:after="120" w:line="259" w:lineRule="auto"/>
        <w:ind w:left="426" w:hanging="426"/>
        <w:contextualSpacing w:val="0"/>
        <w:rPr>
          <w:rFonts w:asciiTheme="majorHAnsi" w:hAnsiTheme="majorHAnsi"/>
          <w:szCs w:val="20"/>
        </w:rPr>
      </w:pPr>
      <w:r>
        <w:rPr>
          <w:rFonts w:asciiTheme="majorHAnsi" w:hAnsiTheme="majorHAnsi"/>
          <w:szCs w:val="20"/>
        </w:rPr>
        <w:t>W</w:t>
      </w:r>
      <w:r w:rsidRPr="0056080A">
        <w:rPr>
          <w:rFonts w:asciiTheme="majorHAnsi" w:hAnsiTheme="majorHAnsi"/>
          <w:szCs w:val="20"/>
        </w:rPr>
        <w:t xml:space="preserve">hile the precise content or student learning processes may differ, identical assessment activities, criteria, grading schemes and standards must be set </w:t>
      </w:r>
      <w:r>
        <w:rPr>
          <w:rFonts w:asciiTheme="majorHAnsi" w:hAnsiTheme="majorHAnsi"/>
          <w:szCs w:val="20"/>
        </w:rPr>
        <w:t>for all instances of a subject.</w:t>
      </w:r>
    </w:p>
    <w:p w:rsidR="002A1B5A" w:rsidRDefault="006F40BF">
      <w:pPr>
        <w:pStyle w:val="Heading1"/>
        <w:ind w:left="-5"/>
      </w:pPr>
      <w:r>
        <w:t>Section 5</w:t>
      </w:r>
      <w:r w:rsidR="003D0FB6">
        <w:t xml:space="preserve"> - Definitions</w:t>
      </w:r>
    </w:p>
    <w:p w:rsidR="002A1B5A" w:rsidRDefault="003D0FB6" w:rsidP="004A0F5C">
      <w:pPr>
        <w:spacing w:after="285"/>
        <w:ind w:left="-5" w:right="12"/>
        <w:rPr>
          <w:sz w:val="22"/>
        </w:rPr>
      </w:pPr>
      <w:r w:rsidRPr="00824EAD">
        <w:rPr>
          <w:sz w:val="22"/>
        </w:rPr>
        <w:t xml:space="preserve">For the purpose of this </w:t>
      </w:r>
      <w:r w:rsidR="004A0F5C">
        <w:rPr>
          <w:sz w:val="22"/>
        </w:rPr>
        <w:t>Standard</w:t>
      </w:r>
      <w:r w:rsidRPr="00824EAD">
        <w:rPr>
          <w:sz w:val="22"/>
        </w:rPr>
        <w:t>:</w:t>
      </w:r>
    </w:p>
    <w:p w:rsidR="004A0F5C" w:rsidRDefault="004A0F5C" w:rsidP="004A0F5C">
      <w:pPr>
        <w:spacing w:after="60"/>
        <w:rPr>
          <w:rFonts w:asciiTheme="majorHAnsi" w:eastAsia="Times New Roman" w:hAnsiTheme="majorHAnsi" w:cs="Times New Roman"/>
          <w:szCs w:val="20"/>
          <w:lang w:val="en-US"/>
        </w:rPr>
      </w:pPr>
      <w:r w:rsidRPr="006A4235">
        <w:rPr>
          <w:rFonts w:asciiTheme="majorHAnsi" w:hAnsiTheme="majorHAnsi"/>
          <w:szCs w:val="20"/>
        </w:rPr>
        <w:t xml:space="preserve">Assessment: </w:t>
      </w:r>
      <w:r w:rsidRPr="006A4235">
        <w:rPr>
          <w:rFonts w:asciiTheme="majorHAnsi" w:eastAsia="Times New Roman" w:hAnsiTheme="majorHAnsi" w:cs="Times New Roman"/>
          <w:szCs w:val="20"/>
          <w:lang w:val="en-US"/>
        </w:rPr>
        <w:t>wide variety of methods or tools that educators use to evaluate, measure, and document the academic readiness, learning progress, skill acquisition or educational needs of students.</w:t>
      </w:r>
    </w:p>
    <w:p w:rsidR="004A0F5C" w:rsidRDefault="004A0F5C" w:rsidP="004A0F5C">
      <w:pPr>
        <w:spacing w:after="60"/>
        <w:rPr>
          <w:rFonts w:asciiTheme="majorHAnsi" w:eastAsia="Times New Roman" w:hAnsiTheme="majorHAnsi" w:cs="Times New Roman"/>
          <w:szCs w:val="20"/>
          <w:lang w:val="en-US"/>
        </w:rPr>
      </w:pPr>
      <w:r>
        <w:rPr>
          <w:rFonts w:asciiTheme="majorHAnsi" w:eastAsia="Times New Roman" w:hAnsiTheme="majorHAnsi" w:cs="Times New Roman"/>
          <w:szCs w:val="20"/>
          <w:lang w:val="en-US"/>
        </w:rPr>
        <w:t>Hurdle requirement: a condition that applies for a student to be eligible to receive a passing grade in a subject.</w:t>
      </w:r>
    </w:p>
    <w:p w:rsidR="004A0F5C" w:rsidRPr="006A4235" w:rsidRDefault="004A0F5C" w:rsidP="004A0F5C">
      <w:pPr>
        <w:spacing w:after="60"/>
        <w:rPr>
          <w:rFonts w:asciiTheme="majorHAnsi" w:hAnsiTheme="majorHAnsi"/>
          <w:szCs w:val="20"/>
        </w:rPr>
      </w:pPr>
      <w:r>
        <w:rPr>
          <w:rFonts w:asciiTheme="majorHAnsi" w:eastAsia="Times New Roman" w:hAnsiTheme="majorHAnsi" w:cs="Times New Roman"/>
          <w:szCs w:val="20"/>
          <w:lang w:val="en-US"/>
        </w:rPr>
        <w:t>Summative assessment: an evaluation of student learning at the end of a subject, compared against some standard or benchmark, and represented by a grade.</w:t>
      </w:r>
    </w:p>
    <w:p w:rsidR="004A0F5C" w:rsidRPr="004A0F5C" w:rsidRDefault="004A0F5C" w:rsidP="004A0F5C">
      <w:pPr>
        <w:spacing w:after="285"/>
        <w:ind w:left="-5" w:right="12"/>
        <w:rPr>
          <w:sz w:val="22"/>
        </w:rPr>
      </w:pPr>
    </w:p>
    <w:sectPr w:rsidR="004A0F5C" w:rsidRPr="004A0F5C">
      <w:footerReference w:type="even" r:id="rId8"/>
      <w:footerReference w:type="default" r:id="rId9"/>
      <w:footerReference w:type="first" r:id="rId10"/>
      <w:pgSz w:w="11906" w:h="16838"/>
      <w:pgMar w:top="567" w:right="588" w:bottom="1278" w:left="567" w:header="720" w:footer="5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493" w:rsidRDefault="005B5493">
      <w:pPr>
        <w:spacing w:after="0" w:line="240" w:lineRule="auto"/>
      </w:pPr>
      <w:r>
        <w:separator/>
      </w:r>
    </w:p>
  </w:endnote>
  <w:endnote w:type="continuationSeparator" w:id="0">
    <w:p w:rsidR="005B5493" w:rsidRDefault="005B5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B5A" w:rsidRDefault="003D0FB6">
    <w:pPr>
      <w:spacing w:after="0" w:line="262" w:lineRule="auto"/>
      <w:ind w:left="0" w:right="-21" w:firstLine="0"/>
    </w:pPr>
    <w:r>
      <w:rPr>
        <w:i/>
        <w:color w:val="999999"/>
        <w:sz w:val="14"/>
      </w:rPr>
      <w:t>This policy document may be varied, withdrawn or replaced at any time. Printed copies, or part thereof, are regarded as uncontrolled and should not be</w:t>
    </w:r>
    <w:r>
      <w:rPr>
        <w:i/>
        <w:color w:val="999999"/>
        <w:sz w:val="14"/>
      </w:rPr>
      <w:tab/>
    </w:r>
    <w:r>
      <w:rPr>
        <w:i/>
        <w:sz w:val="14"/>
      </w:rPr>
      <w:t xml:space="preserve">Page </w:t>
    </w:r>
    <w:r>
      <w:fldChar w:fldCharType="begin"/>
    </w:r>
    <w:r>
      <w:instrText xml:space="preserve"> PAGE   \* MERGEFORMAT </w:instrText>
    </w:r>
    <w:r>
      <w:fldChar w:fldCharType="separate"/>
    </w:r>
    <w:r>
      <w:rPr>
        <w:i/>
        <w:sz w:val="14"/>
      </w:rPr>
      <w:t>1</w:t>
    </w:r>
    <w:r>
      <w:rPr>
        <w:i/>
        <w:sz w:val="14"/>
      </w:rPr>
      <w:fldChar w:fldCharType="end"/>
    </w:r>
    <w:r>
      <w:rPr>
        <w:i/>
        <w:sz w:val="14"/>
      </w:rPr>
      <w:t xml:space="preserve"> of </w:t>
    </w:r>
    <w:fldSimple w:instr=" NUMPAGES   \* MERGEFORMAT ">
      <w:r>
        <w:rPr>
          <w:i/>
          <w:sz w:val="14"/>
        </w:rPr>
        <w:t>5</w:t>
      </w:r>
    </w:fldSimple>
    <w:r>
      <w:rPr>
        <w:i/>
        <w:color w:val="999999"/>
        <w:sz w:val="14"/>
      </w:rPr>
      <w:t>relied upon as the current version. It is the responsibility of staff printing this document to always refer to La Trobe's Policy Portal for the latest version.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EF3" w:rsidRDefault="003D0FB6">
    <w:pPr>
      <w:spacing w:after="0" w:line="262" w:lineRule="auto"/>
      <w:ind w:left="0" w:right="-21" w:firstLine="0"/>
      <w:rPr>
        <w:i/>
        <w:sz w:val="14"/>
      </w:rPr>
    </w:pPr>
    <w:r>
      <w:rPr>
        <w:i/>
        <w:color w:val="999999"/>
        <w:sz w:val="14"/>
      </w:rPr>
      <w:t>This policy document may be varied, withdrawn or replaced at any time. Printed copies, or part thereof, are regarded as uncontrolled and should not be</w:t>
    </w:r>
    <w:r>
      <w:rPr>
        <w:i/>
        <w:color w:val="999999"/>
        <w:sz w:val="14"/>
      </w:rPr>
      <w:tab/>
    </w:r>
    <w:r w:rsidR="00296EF3">
      <w:rPr>
        <w:i/>
        <w:color w:val="999999"/>
        <w:sz w:val="14"/>
      </w:rPr>
      <w:tab/>
      <w:t xml:space="preserve">      </w:t>
    </w:r>
    <w:r>
      <w:rPr>
        <w:i/>
        <w:sz w:val="14"/>
      </w:rPr>
      <w:t xml:space="preserve">Page </w:t>
    </w:r>
    <w:r>
      <w:fldChar w:fldCharType="begin"/>
    </w:r>
    <w:r>
      <w:instrText xml:space="preserve"> PAGE   \* MERGEFORMAT </w:instrText>
    </w:r>
    <w:r>
      <w:fldChar w:fldCharType="separate"/>
    </w:r>
    <w:r w:rsidR="0046227D" w:rsidRPr="0046227D">
      <w:rPr>
        <w:i/>
        <w:noProof/>
        <w:sz w:val="14"/>
      </w:rPr>
      <w:t>1</w:t>
    </w:r>
    <w:r>
      <w:rPr>
        <w:i/>
        <w:sz w:val="14"/>
      </w:rPr>
      <w:fldChar w:fldCharType="end"/>
    </w:r>
    <w:r>
      <w:rPr>
        <w:i/>
        <w:sz w:val="14"/>
      </w:rPr>
      <w:t xml:space="preserve"> of </w:t>
    </w:r>
    <w:fldSimple w:instr=" NUMPAGES   \* MERGEFORMAT ">
      <w:r w:rsidR="0046227D" w:rsidRPr="0046227D">
        <w:rPr>
          <w:i/>
          <w:noProof/>
          <w:sz w:val="14"/>
        </w:rPr>
        <w:t>1</w:t>
      </w:r>
    </w:fldSimple>
  </w:p>
  <w:p w:rsidR="002A1B5A" w:rsidRDefault="003D0FB6">
    <w:pPr>
      <w:spacing w:after="0" w:line="262" w:lineRule="auto"/>
      <w:ind w:left="0" w:right="-21" w:firstLine="0"/>
    </w:pPr>
    <w:r>
      <w:rPr>
        <w:i/>
        <w:color w:val="999999"/>
        <w:sz w:val="14"/>
      </w:rPr>
      <w:t>relied upon as the current version. It is the responsibility of staff printing this document to always refer to La Trobe's Policy Portal for the latest version.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B5A" w:rsidRDefault="003D0FB6">
    <w:pPr>
      <w:spacing w:after="0" w:line="262" w:lineRule="auto"/>
      <w:ind w:left="0" w:right="-21" w:firstLine="0"/>
    </w:pPr>
    <w:r>
      <w:rPr>
        <w:i/>
        <w:color w:val="999999"/>
        <w:sz w:val="14"/>
      </w:rPr>
      <w:t>This policy document may be varied, withdrawn or replaced at any time. Printed copies, or part thereof, are regarded as uncontrolled and should not be</w:t>
    </w:r>
    <w:r>
      <w:rPr>
        <w:i/>
        <w:color w:val="999999"/>
        <w:sz w:val="14"/>
      </w:rPr>
      <w:tab/>
    </w:r>
    <w:r>
      <w:rPr>
        <w:i/>
        <w:sz w:val="14"/>
      </w:rPr>
      <w:t xml:space="preserve">Page </w:t>
    </w:r>
    <w:r>
      <w:fldChar w:fldCharType="begin"/>
    </w:r>
    <w:r>
      <w:instrText xml:space="preserve"> PAGE   \* MERGEFORMAT </w:instrText>
    </w:r>
    <w:r>
      <w:fldChar w:fldCharType="separate"/>
    </w:r>
    <w:r>
      <w:rPr>
        <w:i/>
        <w:sz w:val="14"/>
      </w:rPr>
      <w:t>1</w:t>
    </w:r>
    <w:r>
      <w:rPr>
        <w:i/>
        <w:sz w:val="14"/>
      </w:rPr>
      <w:fldChar w:fldCharType="end"/>
    </w:r>
    <w:r>
      <w:rPr>
        <w:i/>
        <w:sz w:val="14"/>
      </w:rPr>
      <w:t xml:space="preserve"> of </w:t>
    </w:r>
    <w:fldSimple w:instr=" NUMPAGES   \* MERGEFORMAT ">
      <w:r>
        <w:rPr>
          <w:i/>
          <w:sz w:val="14"/>
        </w:rPr>
        <w:t>5</w:t>
      </w:r>
    </w:fldSimple>
    <w:r>
      <w:rPr>
        <w:i/>
        <w:color w:val="999999"/>
        <w:sz w:val="14"/>
      </w:rPr>
      <w:t>relied upon as the current version. It is the responsibility of staff printing this document to always refer to La Trobe's Policy Portal for the latest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493" w:rsidRDefault="005B5493">
      <w:pPr>
        <w:spacing w:after="0" w:line="240" w:lineRule="auto"/>
      </w:pPr>
      <w:r>
        <w:separator/>
      </w:r>
    </w:p>
  </w:footnote>
  <w:footnote w:type="continuationSeparator" w:id="0">
    <w:p w:rsidR="005B5493" w:rsidRDefault="005B54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46F0"/>
    <w:multiLevelType w:val="hybridMultilevel"/>
    <w:tmpl w:val="332EE470"/>
    <w:lvl w:ilvl="0" w:tplc="5B4CE28C">
      <w:start w:val="32"/>
      <w:numFmt w:val="decimal"/>
      <w:lvlText w:val="(%1)"/>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F8D7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D2A8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6026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D8DD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22E4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EA7B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3800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9293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175F76"/>
    <w:multiLevelType w:val="hybridMultilevel"/>
    <w:tmpl w:val="030E68F2"/>
    <w:lvl w:ilvl="0" w:tplc="779863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57A6E64"/>
    <w:multiLevelType w:val="hybridMultilevel"/>
    <w:tmpl w:val="85E2D636"/>
    <w:lvl w:ilvl="0" w:tplc="7CBA8546">
      <w:start w:val="29"/>
      <w:numFmt w:val="decimal"/>
      <w:lvlText w:val="(%1)"/>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8061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BEEF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1AB1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9A51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B2F1B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2093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FE5C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9236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7D81CD1"/>
    <w:multiLevelType w:val="hybridMultilevel"/>
    <w:tmpl w:val="83CCC684"/>
    <w:lvl w:ilvl="0" w:tplc="C50E4168">
      <w:start w:val="4"/>
      <w:numFmt w:val="lowerLetter"/>
      <w:lvlText w:val="(%1)"/>
      <w:lvlJc w:val="left"/>
      <w:pPr>
        <w:ind w:left="1845" w:hanging="360"/>
      </w:pPr>
      <w:rPr>
        <w:rFonts w:hint="default"/>
      </w:rPr>
    </w:lvl>
    <w:lvl w:ilvl="1" w:tplc="0C090019" w:tentative="1">
      <w:start w:val="1"/>
      <w:numFmt w:val="lowerLetter"/>
      <w:lvlText w:val="%2."/>
      <w:lvlJc w:val="left"/>
      <w:pPr>
        <w:ind w:left="2565" w:hanging="360"/>
      </w:pPr>
    </w:lvl>
    <w:lvl w:ilvl="2" w:tplc="0C09001B" w:tentative="1">
      <w:start w:val="1"/>
      <w:numFmt w:val="lowerRoman"/>
      <w:lvlText w:val="%3."/>
      <w:lvlJc w:val="right"/>
      <w:pPr>
        <w:ind w:left="3285" w:hanging="180"/>
      </w:pPr>
    </w:lvl>
    <w:lvl w:ilvl="3" w:tplc="0C09000F" w:tentative="1">
      <w:start w:val="1"/>
      <w:numFmt w:val="decimal"/>
      <w:lvlText w:val="%4."/>
      <w:lvlJc w:val="left"/>
      <w:pPr>
        <w:ind w:left="4005" w:hanging="360"/>
      </w:pPr>
    </w:lvl>
    <w:lvl w:ilvl="4" w:tplc="0C090019" w:tentative="1">
      <w:start w:val="1"/>
      <w:numFmt w:val="lowerLetter"/>
      <w:lvlText w:val="%5."/>
      <w:lvlJc w:val="left"/>
      <w:pPr>
        <w:ind w:left="4725" w:hanging="360"/>
      </w:pPr>
    </w:lvl>
    <w:lvl w:ilvl="5" w:tplc="0C09001B" w:tentative="1">
      <w:start w:val="1"/>
      <w:numFmt w:val="lowerRoman"/>
      <w:lvlText w:val="%6."/>
      <w:lvlJc w:val="right"/>
      <w:pPr>
        <w:ind w:left="5445" w:hanging="180"/>
      </w:pPr>
    </w:lvl>
    <w:lvl w:ilvl="6" w:tplc="0C09000F" w:tentative="1">
      <w:start w:val="1"/>
      <w:numFmt w:val="decimal"/>
      <w:lvlText w:val="%7."/>
      <w:lvlJc w:val="left"/>
      <w:pPr>
        <w:ind w:left="6165" w:hanging="360"/>
      </w:pPr>
    </w:lvl>
    <w:lvl w:ilvl="7" w:tplc="0C090019" w:tentative="1">
      <w:start w:val="1"/>
      <w:numFmt w:val="lowerLetter"/>
      <w:lvlText w:val="%8."/>
      <w:lvlJc w:val="left"/>
      <w:pPr>
        <w:ind w:left="6885" w:hanging="360"/>
      </w:pPr>
    </w:lvl>
    <w:lvl w:ilvl="8" w:tplc="0C09001B" w:tentative="1">
      <w:start w:val="1"/>
      <w:numFmt w:val="lowerRoman"/>
      <w:lvlText w:val="%9."/>
      <w:lvlJc w:val="right"/>
      <w:pPr>
        <w:ind w:left="7605" w:hanging="180"/>
      </w:pPr>
    </w:lvl>
  </w:abstractNum>
  <w:abstractNum w:abstractNumId="4" w15:restartNumberingAfterBreak="0">
    <w:nsid w:val="392217C5"/>
    <w:multiLevelType w:val="hybridMultilevel"/>
    <w:tmpl w:val="A0B6F416"/>
    <w:lvl w:ilvl="0" w:tplc="A82ACF92">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2C07444"/>
    <w:multiLevelType w:val="hybridMultilevel"/>
    <w:tmpl w:val="25907F22"/>
    <w:lvl w:ilvl="0" w:tplc="F57E717C">
      <w:start w:val="1"/>
      <w:numFmt w:val="lowerLetter"/>
      <w:lvlText w:val="(%1)"/>
      <w:lvlJc w:val="left"/>
      <w:pPr>
        <w:ind w:left="1845" w:hanging="360"/>
      </w:pPr>
      <w:rPr>
        <w:rFonts w:hint="default"/>
      </w:rPr>
    </w:lvl>
    <w:lvl w:ilvl="1" w:tplc="0C090019" w:tentative="1">
      <w:start w:val="1"/>
      <w:numFmt w:val="lowerLetter"/>
      <w:lvlText w:val="%2."/>
      <w:lvlJc w:val="left"/>
      <w:pPr>
        <w:ind w:left="2565" w:hanging="360"/>
      </w:pPr>
    </w:lvl>
    <w:lvl w:ilvl="2" w:tplc="0C09001B" w:tentative="1">
      <w:start w:val="1"/>
      <w:numFmt w:val="lowerRoman"/>
      <w:lvlText w:val="%3."/>
      <w:lvlJc w:val="right"/>
      <w:pPr>
        <w:ind w:left="3285" w:hanging="180"/>
      </w:pPr>
    </w:lvl>
    <w:lvl w:ilvl="3" w:tplc="0C09000F" w:tentative="1">
      <w:start w:val="1"/>
      <w:numFmt w:val="decimal"/>
      <w:lvlText w:val="%4."/>
      <w:lvlJc w:val="left"/>
      <w:pPr>
        <w:ind w:left="4005" w:hanging="360"/>
      </w:pPr>
    </w:lvl>
    <w:lvl w:ilvl="4" w:tplc="0C090019" w:tentative="1">
      <w:start w:val="1"/>
      <w:numFmt w:val="lowerLetter"/>
      <w:lvlText w:val="%5."/>
      <w:lvlJc w:val="left"/>
      <w:pPr>
        <w:ind w:left="4725" w:hanging="360"/>
      </w:pPr>
    </w:lvl>
    <w:lvl w:ilvl="5" w:tplc="0C09001B" w:tentative="1">
      <w:start w:val="1"/>
      <w:numFmt w:val="lowerRoman"/>
      <w:lvlText w:val="%6."/>
      <w:lvlJc w:val="right"/>
      <w:pPr>
        <w:ind w:left="5445" w:hanging="180"/>
      </w:pPr>
    </w:lvl>
    <w:lvl w:ilvl="6" w:tplc="0C09000F" w:tentative="1">
      <w:start w:val="1"/>
      <w:numFmt w:val="decimal"/>
      <w:lvlText w:val="%7."/>
      <w:lvlJc w:val="left"/>
      <w:pPr>
        <w:ind w:left="6165" w:hanging="360"/>
      </w:pPr>
    </w:lvl>
    <w:lvl w:ilvl="7" w:tplc="0C090019" w:tentative="1">
      <w:start w:val="1"/>
      <w:numFmt w:val="lowerLetter"/>
      <w:lvlText w:val="%8."/>
      <w:lvlJc w:val="left"/>
      <w:pPr>
        <w:ind w:left="6885" w:hanging="360"/>
      </w:pPr>
    </w:lvl>
    <w:lvl w:ilvl="8" w:tplc="0C09001B" w:tentative="1">
      <w:start w:val="1"/>
      <w:numFmt w:val="lowerRoman"/>
      <w:lvlText w:val="%9."/>
      <w:lvlJc w:val="right"/>
      <w:pPr>
        <w:ind w:left="7605" w:hanging="180"/>
      </w:pPr>
    </w:lvl>
  </w:abstractNum>
  <w:abstractNum w:abstractNumId="6" w15:restartNumberingAfterBreak="0">
    <w:nsid w:val="4D33689C"/>
    <w:multiLevelType w:val="hybridMultilevel"/>
    <w:tmpl w:val="CBAE5438"/>
    <w:lvl w:ilvl="0" w:tplc="3FFC09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CCF3EC">
      <w:start w:val="1"/>
      <w:numFmt w:val="lowerLetter"/>
      <w:lvlText w:val="%2."/>
      <w:lvlJc w:val="left"/>
      <w:pPr>
        <w:ind w:left="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54C864">
      <w:start w:val="1"/>
      <w:numFmt w:val="lowerRoman"/>
      <w:lvlText w:val="%3"/>
      <w:lvlJc w:val="left"/>
      <w:pPr>
        <w:ind w:left="1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1AACBA">
      <w:start w:val="1"/>
      <w:numFmt w:val="decimal"/>
      <w:lvlText w:val="%4"/>
      <w:lvlJc w:val="left"/>
      <w:pPr>
        <w:ind w:left="21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E2C00A">
      <w:start w:val="1"/>
      <w:numFmt w:val="lowerLetter"/>
      <w:lvlText w:val="%5"/>
      <w:lvlJc w:val="left"/>
      <w:pPr>
        <w:ind w:left="28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1655C6">
      <w:start w:val="1"/>
      <w:numFmt w:val="lowerRoman"/>
      <w:lvlText w:val="%6"/>
      <w:lvlJc w:val="left"/>
      <w:pPr>
        <w:ind w:left="35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B4A242">
      <w:start w:val="1"/>
      <w:numFmt w:val="decimal"/>
      <w:lvlText w:val="%7"/>
      <w:lvlJc w:val="left"/>
      <w:pPr>
        <w:ind w:left="4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3CD572">
      <w:start w:val="1"/>
      <w:numFmt w:val="lowerLetter"/>
      <w:lvlText w:val="%8"/>
      <w:lvlJc w:val="left"/>
      <w:pPr>
        <w:ind w:left="50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D6F97E">
      <w:start w:val="1"/>
      <w:numFmt w:val="lowerRoman"/>
      <w:lvlText w:val="%9"/>
      <w:lvlJc w:val="left"/>
      <w:pPr>
        <w:ind w:left="5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203111E"/>
    <w:multiLevelType w:val="hybridMultilevel"/>
    <w:tmpl w:val="B7AE3208"/>
    <w:lvl w:ilvl="0" w:tplc="CE343908">
      <w:start w:val="1"/>
      <w:numFmt w:val="decimal"/>
      <w:lvlText w:val="(%1)"/>
      <w:lvlJc w:val="left"/>
      <w:pPr>
        <w:ind w:left="3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806C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4A40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1A4E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8249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B67F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04BB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0C04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FC7F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3BA4655"/>
    <w:multiLevelType w:val="hybridMultilevel"/>
    <w:tmpl w:val="479201A8"/>
    <w:lvl w:ilvl="0" w:tplc="4CE2E452">
      <w:start w:val="1"/>
      <w:numFmt w:val="bullet"/>
      <w:pStyle w:val="Bulletlist"/>
      <w:lvlText w:val=""/>
      <w:lvlJc w:val="left"/>
      <w:pPr>
        <w:tabs>
          <w:tab w:val="num" w:pos="284"/>
        </w:tabs>
        <w:ind w:left="284" w:hanging="284"/>
      </w:pPr>
      <w:rPr>
        <w:rFonts w:ascii="Symbol" w:hAnsi="Symbol" w:hint="default"/>
        <w:color w:val="000000"/>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61D44824"/>
    <w:multiLevelType w:val="hybridMultilevel"/>
    <w:tmpl w:val="8F0E8736"/>
    <w:lvl w:ilvl="0" w:tplc="C2F244EA">
      <w:start w:val="8"/>
      <w:numFmt w:val="decimal"/>
      <w:lvlText w:val="(%1)"/>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665C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2E04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1052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14A9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7CF5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D252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307A9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227B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3895132"/>
    <w:multiLevelType w:val="hybridMultilevel"/>
    <w:tmpl w:val="679AF66C"/>
    <w:lvl w:ilvl="0" w:tplc="2EE0BBFC">
      <w:start w:val="11"/>
      <w:numFmt w:val="decimal"/>
      <w:lvlText w:val="(%1)"/>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02683A">
      <w:start w:val="1"/>
      <w:numFmt w:val="lowerLetter"/>
      <w:lvlText w:val="%2."/>
      <w:lvlJc w:val="left"/>
      <w:pPr>
        <w:ind w:left="6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DC9C00">
      <w:start w:val="1"/>
      <w:numFmt w:val="lowerRoman"/>
      <w:lvlText w:val="%3."/>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6CD074">
      <w:start w:val="1"/>
      <w:numFmt w:val="decimal"/>
      <w:lvlText w:val="%4"/>
      <w:lvlJc w:val="left"/>
      <w:pPr>
        <w:ind w:left="2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F457F2">
      <w:start w:val="1"/>
      <w:numFmt w:val="lowerLetter"/>
      <w:lvlText w:val="%5"/>
      <w:lvlJc w:val="left"/>
      <w:pPr>
        <w:ind w:left="2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445FCE">
      <w:start w:val="1"/>
      <w:numFmt w:val="lowerRoman"/>
      <w:lvlText w:val="%6"/>
      <w:lvlJc w:val="left"/>
      <w:pPr>
        <w:ind w:left="3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8C4EAE">
      <w:start w:val="1"/>
      <w:numFmt w:val="decimal"/>
      <w:lvlText w:val="%7"/>
      <w:lvlJc w:val="left"/>
      <w:pPr>
        <w:ind w:left="41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52779A">
      <w:start w:val="1"/>
      <w:numFmt w:val="lowerLetter"/>
      <w:lvlText w:val="%8"/>
      <w:lvlJc w:val="left"/>
      <w:pPr>
        <w:ind w:left="49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1A2A16">
      <w:start w:val="1"/>
      <w:numFmt w:val="lowerRoman"/>
      <w:lvlText w:val="%9"/>
      <w:lvlJc w:val="left"/>
      <w:pPr>
        <w:ind w:left="56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046738E"/>
    <w:multiLevelType w:val="hybridMultilevel"/>
    <w:tmpl w:val="C93EFB52"/>
    <w:lvl w:ilvl="0" w:tplc="1D129922">
      <w:start w:val="1"/>
      <w:numFmt w:val="lowerLetter"/>
      <w:lvlText w:val="%1."/>
      <w:lvlJc w:val="left"/>
      <w:pPr>
        <w:ind w:left="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C2938A">
      <w:start w:val="1"/>
      <w:numFmt w:val="lowerRoman"/>
      <w:lvlText w:val="%2."/>
      <w:lvlJc w:val="left"/>
      <w:pPr>
        <w:ind w:left="1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C86406">
      <w:start w:val="1"/>
      <w:numFmt w:val="lowerRoman"/>
      <w:lvlText w:val="%3"/>
      <w:lvlJc w:val="left"/>
      <w:pPr>
        <w:ind w:left="2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DA4F7A">
      <w:start w:val="1"/>
      <w:numFmt w:val="decimal"/>
      <w:lvlText w:val="%4"/>
      <w:lvlJc w:val="left"/>
      <w:pPr>
        <w:ind w:left="2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8CB132">
      <w:start w:val="1"/>
      <w:numFmt w:val="lowerLetter"/>
      <w:lvlText w:val="%5"/>
      <w:lvlJc w:val="left"/>
      <w:pPr>
        <w:ind w:left="3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86F280">
      <w:start w:val="1"/>
      <w:numFmt w:val="lowerRoman"/>
      <w:lvlText w:val="%6"/>
      <w:lvlJc w:val="left"/>
      <w:pPr>
        <w:ind w:left="4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F0B0BE">
      <w:start w:val="1"/>
      <w:numFmt w:val="decimal"/>
      <w:lvlText w:val="%7"/>
      <w:lvlJc w:val="left"/>
      <w:pPr>
        <w:ind w:left="4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C23532">
      <w:start w:val="1"/>
      <w:numFmt w:val="lowerLetter"/>
      <w:lvlText w:val="%8"/>
      <w:lvlJc w:val="left"/>
      <w:pPr>
        <w:ind w:left="5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EC4BD2">
      <w:start w:val="1"/>
      <w:numFmt w:val="lowerRoman"/>
      <w:lvlText w:val="%9"/>
      <w:lvlJc w:val="left"/>
      <w:pPr>
        <w:ind w:left="6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0D72820"/>
    <w:multiLevelType w:val="hybridMultilevel"/>
    <w:tmpl w:val="E38861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2E2B8C"/>
    <w:multiLevelType w:val="hybridMultilevel"/>
    <w:tmpl w:val="A77A6444"/>
    <w:lvl w:ilvl="0" w:tplc="197AB2FA">
      <w:start w:val="14"/>
      <w:numFmt w:val="decimal"/>
      <w:lvlText w:val="(%1)"/>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3056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6A97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E83C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BE84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3009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4A6E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6E0D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D6FE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E0C75A0"/>
    <w:multiLevelType w:val="hybridMultilevel"/>
    <w:tmpl w:val="B948A5D4"/>
    <w:lvl w:ilvl="0" w:tplc="2D6CF9F4">
      <w:start w:val="5"/>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F625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0CEB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F848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820F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307A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2C38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064C8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B6D7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FE84D44"/>
    <w:multiLevelType w:val="hybridMultilevel"/>
    <w:tmpl w:val="043601C0"/>
    <w:lvl w:ilvl="0" w:tplc="A0F4621E">
      <w:start w:val="17"/>
      <w:numFmt w:val="decimal"/>
      <w:lvlText w:val="(%1)"/>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F6D6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0A82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CA78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163F9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C0B5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B277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4E05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7835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14"/>
  </w:num>
  <w:num w:numId="3">
    <w:abstractNumId w:val="9"/>
  </w:num>
  <w:num w:numId="4">
    <w:abstractNumId w:val="10"/>
  </w:num>
  <w:num w:numId="5">
    <w:abstractNumId w:val="13"/>
  </w:num>
  <w:num w:numId="6">
    <w:abstractNumId w:val="15"/>
  </w:num>
  <w:num w:numId="7">
    <w:abstractNumId w:val="2"/>
  </w:num>
  <w:num w:numId="8">
    <w:abstractNumId w:val="6"/>
  </w:num>
  <w:num w:numId="9">
    <w:abstractNumId w:val="0"/>
  </w:num>
  <w:num w:numId="10">
    <w:abstractNumId w:val="11"/>
  </w:num>
  <w:num w:numId="11">
    <w:abstractNumId w:val="8"/>
  </w:num>
  <w:num w:numId="12">
    <w:abstractNumId w:val="12"/>
  </w:num>
  <w:num w:numId="13">
    <w:abstractNumId w:val="1"/>
  </w:num>
  <w:num w:numId="14">
    <w:abstractNumId w:val="5"/>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B5A"/>
    <w:rsid w:val="0004236D"/>
    <w:rsid w:val="001407DA"/>
    <w:rsid w:val="0026195A"/>
    <w:rsid w:val="00296EF3"/>
    <w:rsid w:val="002A1B5A"/>
    <w:rsid w:val="002E2F97"/>
    <w:rsid w:val="00332C17"/>
    <w:rsid w:val="003D0FB6"/>
    <w:rsid w:val="004407C4"/>
    <w:rsid w:val="0046227D"/>
    <w:rsid w:val="004A0F5C"/>
    <w:rsid w:val="00545E3D"/>
    <w:rsid w:val="005B45DA"/>
    <w:rsid w:val="005B5493"/>
    <w:rsid w:val="00671F8E"/>
    <w:rsid w:val="006F40BF"/>
    <w:rsid w:val="00824EAD"/>
    <w:rsid w:val="00830080"/>
    <w:rsid w:val="008738F5"/>
    <w:rsid w:val="00AD4B5E"/>
    <w:rsid w:val="00B03568"/>
    <w:rsid w:val="00B0726B"/>
    <w:rsid w:val="00BF2A6E"/>
    <w:rsid w:val="00BF62C6"/>
    <w:rsid w:val="00C204F2"/>
    <w:rsid w:val="00C25966"/>
    <w:rsid w:val="00DF5ACA"/>
    <w:rsid w:val="00E97C7E"/>
    <w:rsid w:val="00F443D7"/>
    <w:rsid w:val="00F465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A9EDF-E234-497D-AC40-9209FFC4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1" w:line="291"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87"/>
      <w:ind w:left="10" w:hanging="10"/>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pPr>
      <w:keepNext/>
      <w:keepLines/>
      <w:spacing w:after="144"/>
      <w:ind w:left="10" w:hanging="10"/>
      <w:outlineLvl w:val="1"/>
    </w:pPr>
    <w:rPr>
      <w:rFonts w:ascii="Calibri" w:eastAsia="Calibri" w:hAnsi="Calibri" w:cs="Calibri"/>
      <w:b/>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30"/>
    </w:rPr>
  </w:style>
  <w:style w:type="character" w:customStyle="1" w:styleId="Heading1Char">
    <w:name w:val="Heading 1 Char"/>
    <w:link w:val="Heading1"/>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ulletlist">
    <w:name w:val="Bullet list"/>
    <w:basedOn w:val="Normal"/>
    <w:rsid w:val="00824EAD"/>
    <w:pPr>
      <w:numPr>
        <w:numId w:val="11"/>
      </w:numPr>
      <w:spacing w:after="0"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824EAD"/>
    <w:pPr>
      <w:ind w:left="720"/>
      <w:contextualSpacing/>
    </w:pPr>
  </w:style>
  <w:style w:type="paragraph" w:styleId="Header">
    <w:name w:val="header"/>
    <w:basedOn w:val="Normal"/>
    <w:link w:val="HeaderChar"/>
    <w:uiPriority w:val="99"/>
    <w:unhideWhenUsed/>
    <w:rsid w:val="00296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EF3"/>
    <w:rPr>
      <w:rFonts w:ascii="Calibri" w:eastAsia="Calibri" w:hAnsi="Calibri" w:cs="Calibri"/>
      <w:color w:val="000000"/>
      <w:sz w:val="20"/>
    </w:rPr>
  </w:style>
  <w:style w:type="paragraph" w:customStyle="1" w:styleId="Default">
    <w:name w:val="Default"/>
    <w:rsid w:val="0083008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Travel Management (Students) Procedure</vt:lpstr>
    </vt:vector>
  </TitlesOfParts>
  <Company>La Trobe University</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Management (Students) Procedure</dc:title>
  <dc:subject>Travel Management (Students) Procedure</dc:subject>
  <dc:creator>Fiona Rowley</dc:creator>
  <cp:keywords/>
  <cp:lastModifiedBy>Fiona Rowley</cp:lastModifiedBy>
  <cp:revision>2</cp:revision>
  <dcterms:created xsi:type="dcterms:W3CDTF">2017-10-15T23:09:00Z</dcterms:created>
  <dcterms:modified xsi:type="dcterms:W3CDTF">2017-10-15T23:09:00Z</dcterms:modified>
</cp:coreProperties>
</file>