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0B" w:rsidRPr="00D87AD9" w:rsidRDefault="007E7F0B" w:rsidP="007E7F0B">
      <w:pPr>
        <w:pStyle w:val="Title"/>
        <w:framePr w:wrap="around"/>
        <w:rPr>
          <w:rFonts w:asciiTheme="minorHAnsi" w:hAnsiTheme="minorHAnsi" w:cs="Arial"/>
          <w:szCs w:val="24"/>
        </w:rPr>
      </w:pPr>
      <w:bookmarkStart w:id="0" w:name="_GoBack"/>
      <w:bookmarkEnd w:id="0"/>
      <w:r>
        <w:rPr>
          <w:rFonts w:asciiTheme="minorHAnsi" w:hAnsiTheme="minorHAnsi" w:cs="Arial"/>
          <w:caps/>
          <w:szCs w:val="24"/>
        </w:rPr>
        <w:t>T</w:t>
      </w:r>
      <w:r w:rsidRPr="00D87AD9">
        <w:rPr>
          <w:rFonts w:asciiTheme="minorHAnsi" w:hAnsiTheme="minorHAnsi" w:cs="Arial"/>
          <w:szCs w:val="24"/>
        </w:rPr>
        <w:t xml:space="preserve">ERMS OF REFERENCE FOR REVIEW </w:t>
      </w:r>
    </w:p>
    <w:p w:rsidR="007E7F0B" w:rsidRPr="00D87AD9" w:rsidRDefault="007E7F0B" w:rsidP="007E7F0B">
      <w:pPr>
        <w:pStyle w:val="Title"/>
        <w:framePr w:wrap="around"/>
        <w:rPr>
          <w:rFonts w:asciiTheme="minorHAnsi" w:hAnsiTheme="minorHAnsi" w:cs="Arial"/>
          <w:szCs w:val="24"/>
        </w:rPr>
      </w:pPr>
      <w:r w:rsidRPr="00D87AD9">
        <w:rPr>
          <w:rFonts w:asciiTheme="minorHAnsi" w:hAnsiTheme="minorHAnsi" w:cs="Arial"/>
          <w:szCs w:val="24"/>
        </w:rPr>
        <w:t xml:space="preserve">OF </w:t>
      </w:r>
      <w:r>
        <w:rPr>
          <w:rFonts w:asciiTheme="minorHAnsi" w:hAnsiTheme="minorHAnsi" w:cs="Arial"/>
          <w:szCs w:val="24"/>
        </w:rPr>
        <w:t>[xx]</w:t>
      </w:r>
      <w:r w:rsidRPr="00D87AD9">
        <w:rPr>
          <w:rFonts w:asciiTheme="minorHAnsi" w:hAnsiTheme="minorHAnsi" w:cs="Arial"/>
          <w:szCs w:val="24"/>
        </w:rPr>
        <w:t xml:space="preserve"> </w:t>
      </w:r>
      <w:r w:rsidR="00060280">
        <w:rPr>
          <w:rFonts w:asciiTheme="minorHAnsi" w:hAnsiTheme="minorHAnsi" w:cs="Arial"/>
          <w:szCs w:val="24"/>
        </w:rPr>
        <w:t>DIVISION</w:t>
      </w:r>
    </w:p>
    <w:p w:rsidR="002C2C95" w:rsidRDefault="00386D43" w:rsidP="00C370A2">
      <w:pPr>
        <w:widowControl/>
        <w:rPr>
          <w:rFonts w:ascii="Arial" w:eastAsia="Arial" w:hAnsi="Arial" w:cs="Arial"/>
          <w:b/>
          <w:bCs/>
          <w:sz w:val="21"/>
          <w:szCs w:val="21"/>
        </w:rPr>
      </w:pPr>
      <w:r w:rsidRPr="00C370A2">
        <w:rPr>
          <w:rFonts w:eastAsia="Times New Roman" w:cs="Arial"/>
          <w:b/>
          <w:lang w:val="en-AU" w:eastAsia="en-AU"/>
        </w:rPr>
        <w:t>Purpose</w:t>
      </w:r>
    </w:p>
    <w:p w:rsidR="002C2C95" w:rsidRPr="00F2378C" w:rsidRDefault="00386D43" w:rsidP="00C370A2">
      <w:pPr>
        <w:pStyle w:val="Bulletlist"/>
        <w:tabs>
          <w:tab w:val="clear" w:pos="284"/>
          <w:tab w:val="left" w:pos="5940"/>
        </w:tabs>
        <w:spacing w:before="120" w:after="120"/>
        <w:ind w:left="0" w:firstLine="0"/>
        <w:rPr>
          <w:rFonts w:cs="Arial"/>
        </w:rPr>
      </w:pPr>
      <w:r w:rsidRPr="00F2378C">
        <w:rPr>
          <w:rFonts w:cs="Arial"/>
          <w:szCs w:val="22"/>
        </w:rPr>
        <w:t>A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review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provides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an</w:t>
      </w:r>
      <w:r w:rsidRPr="00C370A2">
        <w:rPr>
          <w:rFonts w:cs="Arial"/>
          <w:szCs w:val="22"/>
        </w:rPr>
        <w:t xml:space="preserve"> evidence-based assessment </w:t>
      </w:r>
      <w:r w:rsidRPr="00F2378C">
        <w:rPr>
          <w:rFonts w:cs="Arial"/>
          <w:szCs w:val="22"/>
        </w:rPr>
        <w:t>of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the</w:t>
      </w:r>
      <w:r w:rsidRPr="00C370A2">
        <w:rPr>
          <w:rFonts w:cs="Arial"/>
          <w:szCs w:val="22"/>
        </w:rPr>
        <w:t xml:space="preserve"> performance </w:t>
      </w:r>
      <w:r w:rsidRPr="00F2378C">
        <w:rPr>
          <w:rFonts w:cs="Arial"/>
          <w:szCs w:val="22"/>
        </w:rPr>
        <w:t>of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</w:t>
      </w:r>
      <w:r w:rsidRPr="00C370A2">
        <w:rPr>
          <w:rFonts w:cs="Arial"/>
          <w:szCs w:val="22"/>
        </w:rPr>
        <w:t xml:space="preserve"> Division </w:t>
      </w:r>
      <w:r w:rsidRPr="00F2378C">
        <w:rPr>
          <w:rFonts w:cs="Arial"/>
          <w:szCs w:val="22"/>
        </w:rPr>
        <w:t>and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its</w:t>
      </w:r>
      <w:r w:rsidRPr="00C370A2">
        <w:rPr>
          <w:rFonts w:cs="Arial"/>
          <w:szCs w:val="22"/>
        </w:rPr>
        <w:t xml:space="preserve"> contributions </w:t>
      </w:r>
      <w:r w:rsidRPr="00F2378C">
        <w:rPr>
          <w:rFonts w:cs="Arial"/>
          <w:szCs w:val="22"/>
        </w:rPr>
        <w:t>to</w:t>
      </w:r>
      <w:r w:rsidRPr="00C370A2">
        <w:rPr>
          <w:rFonts w:cs="Arial"/>
          <w:szCs w:val="22"/>
        </w:rPr>
        <w:t xml:space="preserve"> the </w:t>
      </w:r>
      <w:r w:rsidRPr="00F2378C">
        <w:rPr>
          <w:rFonts w:cs="Arial"/>
          <w:szCs w:val="22"/>
        </w:rPr>
        <w:t>strategic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objectives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of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University,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including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an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assessment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of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performance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relative</w:t>
      </w:r>
      <w:r w:rsidRPr="00C370A2">
        <w:rPr>
          <w:rFonts w:cs="Arial"/>
          <w:szCs w:val="22"/>
        </w:rPr>
        <w:t xml:space="preserve"> to </w:t>
      </w:r>
      <w:r w:rsidRPr="00F2378C">
        <w:rPr>
          <w:rFonts w:cs="Arial"/>
          <w:szCs w:val="22"/>
        </w:rPr>
        <w:t>comparable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organisations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nationally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and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over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time.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Reviews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also</w:t>
      </w:r>
      <w:r w:rsidRPr="00C370A2">
        <w:rPr>
          <w:rFonts w:cs="Arial"/>
          <w:szCs w:val="22"/>
        </w:rPr>
        <w:t xml:space="preserve"> consider </w:t>
      </w:r>
      <w:r w:rsidRPr="00F2378C">
        <w:rPr>
          <w:rFonts w:cs="Arial"/>
          <w:szCs w:val="22"/>
        </w:rPr>
        <w:t>the</w:t>
      </w:r>
      <w:r w:rsidRPr="00C370A2">
        <w:rPr>
          <w:rFonts w:cs="Arial"/>
          <w:szCs w:val="22"/>
        </w:rPr>
        <w:t xml:space="preserve"> effectiveness </w:t>
      </w:r>
      <w:r w:rsidRPr="00F2378C">
        <w:rPr>
          <w:rFonts w:cs="Arial"/>
          <w:szCs w:val="22"/>
        </w:rPr>
        <w:t>of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the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internal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management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and</w:t>
      </w:r>
      <w:r w:rsidRPr="00C370A2">
        <w:rPr>
          <w:rFonts w:cs="Arial"/>
          <w:szCs w:val="22"/>
        </w:rPr>
        <w:t xml:space="preserve"> operations </w:t>
      </w:r>
      <w:r w:rsidRPr="00F2378C">
        <w:rPr>
          <w:rFonts w:cs="Arial"/>
          <w:szCs w:val="22"/>
        </w:rPr>
        <w:t>of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the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Division.</w:t>
      </w:r>
    </w:p>
    <w:p w:rsidR="002C2C95" w:rsidRPr="00F2378C" w:rsidRDefault="00386D43" w:rsidP="00C370A2">
      <w:pPr>
        <w:pStyle w:val="Bulletlist"/>
        <w:tabs>
          <w:tab w:val="clear" w:pos="284"/>
          <w:tab w:val="left" w:pos="5940"/>
        </w:tabs>
        <w:spacing w:before="120" w:after="120"/>
        <w:ind w:left="0" w:firstLine="0"/>
        <w:rPr>
          <w:rFonts w:cs="Arial"/>
        </w:rPr>
      </w:pPr>
      <w:r w:rsidRPr="00F2378C">
        <w:rPr>
          <w:rFonts w:cs="Arial"/>
          <w:szCs w:val="22"/>
        </w:rPr>
        <w:t>This</w:t>
      </w:r>
      <w:r w:rsidRPr="00C370A2">
        <w:rPr>
          <w:rFonts w:cs="Arial"/>
          <w:szCs w:val="22"/>
        </w:rPr>
        <w:t xml:space="preserve"> document</w:t>
      </w:r>
      <w:r w:rsidRPr="00F2378C">
        <w:rPr>
          <w:rFonts w:cs="Arial"/>
          <w:szCs w:val="22"/>
        </w:rPr>
        <w:t xml:space="preserve"> should </w:t>
      </w:r>
      <w:r w:rsidRPr="00C370A2">
        <w:rPr>
          <w:rFonts w:cs="Arial"/>
          <w:szCs w:val="22"/>
        </w:rPr>
        <w:t>be</w:t>
      </w:r>
      <w:r w:rsidRPr="00F2378C">
        <w:rPr>
          <w:rFonts w:cs="Arial"/>
          <w:szCs w:val="22"/>
        </w:rPr>
        <w:t xml:space="preserve"> read in </w:t>
      </w:r>
      <w:r w:rsidRPr="00C370A2">
        <w:rPr>
          <w:rFonts w:cs="Arial"/>
          <w:szCs w:val="22"/>
        </w:rPr>
        <w:t>conjunction</w:t>
      </w:r>
      <w:r w:rsidRPr="00F2378C">
        <w:rPr>
          <w:rFonts w:cs="Arial"/>
          <w:szCs w:val="22"/>
        </w:rPr>
        <w:t xml:space="preserve"> </w:t>
      </w:r>
      <w:r w:rsidRPr="00C370A2">
        <w:rPr>
          <w:rFonts w:cs="Arial"/>
          <w:szCs w:val="22"/>
        </w:rPr>
        <w:t>with</w:t>
      </w:r>
      <w:r w:rsidRPr="00F2378C">
        <w:rPr>
          <w:rFonts w:cs="Arial"/>
          <w:szCs w:val="22"/>
        </w:rPr>
        <w:t xml:space="preserve"> the Administrative Division Review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Policy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and</w:t>
      </w:r>
      <w:r w:rsidRPr="00C370A2">
        <w:rPr>
          <w:rFonts w:cs="Arial"/>
          <w:szCs w:val="22"/>
        </w:rPr>
        <w:t xml:space="preserve"> </w:t>
      </w:r>
      <w:r w:rsidRPr="00F2378C">
        <w:rPr>
          <w:rFonts w:cs="Arial"/>
          <w:szCs w:val="22"/>
        </w:rPr>
        <w:t>Procedures.</w:t>
      </w:r>
    </w:p>
    <w:p w:rsidR="002C2C95" w:rsidRPr="00C370A2" w:rsidRDefault="00386D43" w:rsidP="00C370A2">
      <w:pPr>
        <w:widowControl/>
        <w:spacing w:before="120" w:after="120"/>
        <w:rPr>
          <w:rFonts w:eastAsia="Times New Roman" w:cs="Arial"/>
          <w:b/>
          <w:bCs/>
          <w:lang w:val="en-AU" w:eastAsia="en-AU"/>
        </w:rPr>
      </w:pPr>
      <w:r w:rsidRPr="00C370A2">
        <w:rPr>
          <w:rFonts w:eastAsia="Times New Roman" w:cs="Arial"/>
          <w:b/>
          <w:lang w:val="en-AU" w:eastAsia="en-AU"/>
        </w:rPr>
        <w:t>Terms of Reference</w:t>
      </w:r>
    </w:p>
    <w:p w:rsidR="00D815D5" w:rsidRPr="00C370A2" w:rsidRDefault="00D815D5" w:rsidP="00C370A2">
      <w:pPr>
        <w:pStyle w:val="BodyText"/>
        <w:spacing w:before="120" w:after="120"/>
        <w:ind w:left="0" w:right="318" w:firstLine="0"/>
        <w:jc w:val="both"/>
        <w:rPr>
          <w:rFonts w:asciiTheme="minorHAnsi" w:eastAsia="Times New Roman" w:hAnsiTheme="minorHAnsi" w:cs="Arial"/>
          <w:lang w:val="en-AU" w:eastAsia="en-AU"/>
        </w:rPr>
      </w:pPr>
      <w:r w:rsidRPr="00C370A2">
        <w:rPr>
          <w:rFonts w:asciiTheme="minorHAnsi" w:eastAsia="Times New Roman" w:hAnsiTheme="minorHAnsi" w:cs="Arial"/>
          <w:lang w:val="en-AU" w:eastAsia="en-AU"/>
        </w:rPr>
        <w:t>For the review of the Division of xx, the Vice-Chancellor has identified the following specific terms of reference or focus area</w:t>
      </w:r>
      <w:r w:rsidR="00E77F1E">
        <w:rPr>
          <w:rFonts w:asciiTheme="minorHAnsi" w:eastAsia="Times New Roman" w:hAnsiTheme="minorHAnsi" w:cs="Arial"/>
          <w:lang w:val="en-AU" w:eastAsia="en-AU"/>
        </w:rPr>
        <w:t>s, in addition to the generic T</w:t>
      </w:r>
      <w:r w:rsidRPr="00C370A2">
        <w:rPr>
          <w:rFonts w:asciiTheme="minorHAnsi" w:eastAsia="Times New Roman" w:hAnsiTheme="minorHAnsi" w:cs="Arial"/>
          <w:lang w:val="en-AU" w:eastAsia="en-AU"/>
        </w:rPr>
        <w:t>erms of Reference:</w:t>
      </w:r>
    </w:p>
    <w:p w:rsidR="00D815D5" w:rsidRDefault="00D815D5" w:rsidP="00C370A2">
      <w:pPr>
        <w:pStyle w:val="ListParagraph"/>
        <w:widowControl/>
        <w:numPr>
          <w:ilvl w:val="0"/>
          <w:numId w:val="3"/>
        </w:numPr>
        <w:ind w:left="720"/>
        <w:contextualSpacing/>
      </w:pPr>
      <w:r w:rsidRPr="00C370A2">
        <w:rPr>
          <w:rFonts w:eastAsia="Times New Roman" w:cs="Arial"/>
          <w:lang w:val="en-AU" w:eastAsia="en-AU"/>
        </w:rPr>
        <w:t>[add where specified]</w:t>
      </w:r>
    </w:p>
    <w:p w:rsidR="002C2C95" w:rsidRPr="00C370A2" w:rsidRDefault="00386D43" w:rsidP="00C370A2">
      <w:pPr>
        <w:widowControl/>
        <w:spacing w:before="240" w:after="120"/>
        <w:rPr>
          <w:rFonts w:eastAsia="Times New Roman" w:cs="Arial"/>
          <w:b/>
          <w:bCs/>
          <w:sz w:val="24"/>
          <w:szCs w:val="24"/>
          <w:lang w:val="en-AU" w:eastAsia="en-AU"/>
        </w:rPr>
      </w:pPr>
      <w:r w:rsidRPr="00C370A2">
        <w:rPr>
          <w:rFonts w:eastAsia="Times New Roman" w:cs="Arial"/>
          <w:b/>
          <w:sz w:val="24"/>
          <w:szCs w:val="24"/>
          <w:lang w:val="en-AU" w:eastAsia="en-AU"/>
        </w:rPr>
        <w:t>Generic Terms of Reference</w:t>
      </w:r>
    </w:p>
    <w:p w:rsidR="002C2C95" w:rsidRPr="00C370A2" w:rsidRDefault="00386D43" w:rsidP="00C370A2">
      <w:pPr>
        <w:pStyle w:val="Heading2"/>
        <w:numPr>
          <w:ilvl w:val="1"/>
          <w:numId w:val="1"/>
        </w:numPr>
        <w:spacing w:before="240" w:after="0" w:line="276" w:lineRule="auto"/>
        <w:ind w:left="578" w:hanging="578"/>
        <w:rPr>
          <w:rFonts w:asciiTheme="minorHAnsi" w:hAnsiTheme="minorHAnsi"/>
        </w:rPr>
      </w:pPr>
      <w:r w:rsidRPr="00C370A2">
        <w:rPr>
          <w:rFonts w:asciiTheme="minorHAnsi" w:hAnsiTheme="minorHAnsi"/>
        </w:rPr>
        <w:t>Management and Planning</w:t>
      </w:r>
    </w:p>
    <w:p w:rsidR="002C2C95" w:rsidRDefault="00B33D78" w:rsidP="00C370A2">
      <w:pPr>
        <w:widowControl/>
        <w:spacing w:line="276" w:lineRule="auto"/>
      </w:pPr>
      <w:r>
        <w:t>The Panel should c</w:t>
      </w:r>
      <w:r w:rsidR="00386D43">
        <w:t>onsider</w:t>
      </w:r>
      <w:r w:rsidR="00386D43">
        <w:rPr>
          <w:spacing w:val="48"/>
        </w:rPr>
        <w:t xml:space="preserve"> </w:t>
      </w:r>
      <w:r w:rsidR="00386D43">
        <w:t>the</w:t>
      </w:r>
      <w:r w:rsidR="00386D43">
        <w:rPr>
          <w:spacing w:val="47"/>
        </w:rPr>
        <w:t xml:space="preserve"> </w:t>
      </w:r>
      <w:r w:rsidR="00386D43">
        <w:rPr>
          <w:spacing w:val="-1"/>
        </w:rPr>
        <w:t>effectiveness</w:t>
      </w:r>
      <w:r w:rsidR="00386D43">
        <w:rPr>
          <w:spacing w:val="46"/>
        </w:rPr>
        <w:t xml:space="preserve"> </w:t>
      </w:r>
      <w:r w:rsidR="00386D43">
        <w:t>of</w:t>
      </w:r>
      <w:r w:rsidR="00386D43">
        <w:rPr>
          <w:spacing w:val="48"/>
        </w:rPr>
        <w:t xml:space="preserve"> </w:t>
      </w:r>
      <w:r w:rsidR="00386D43">
        <w:t>the</w:t>
      </w:r>
      <w:r w:rsidR="00386D43">
        <w:rPr>
          <w:spacing w:val="48"/>
        </w:rPr>
        <w:t xml:space="preserve"> </w:t>
      </w:r>
      <w:r w:rsidR="00386D43">
        <w:t>management</w:t>
      </w:r>
      <w:r w:rsidR="00386D43">
        <w:rPr>
          <w:spacing w:val="47"/>
        </w:rPr>
        <w:t xml:space="preserve"> </w:t>
      </w:r>
      <w:r w:rsidR="00386D43">
        <w:t>of</w:t>
      </w:r>
      <w:r w:rsidR="00386D43">
        <w:rPr>
          <w:spacing w:val="48"/>
        </w:rPr>
        <w:t xml:space="preserve"> </w:t>
      </w:r>
      <w:r w:rsidR="00386D43">
        <w:t>the</w:t>
      </w:r>
      <w:r w:rsidR="00386D43">
        <w:rPr>
          <w:spacing w:val="48"/>
        </w:rPr>
        <w:t xml:space="preserve"> </w:t>
      </w:r>
      <w:r w:rsidR="00386D43">
        <w:rPr>
          <w:spacing w:val="-1"/>
        </w:rPr>
        <w:t>Division</w:t>
      </w:r>
      <w:r w:rsidR="00386D43">
        <w:rPr>
          <w:spacing w:val="38"/>
          <w:w w:val="99"/>
        </w:rPr>
        <w:t xml:space="preserve"> </w:t>
      </w:r>
      <w:r w:rsidR="00386D43">
        <w:t>including:</w:t>
      </w:r>
    </w:p>
    <w:p w:rsidR="002C2C95" w:rsidRPr="00C370A2" w:rsidRDefault="00B33D78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 w:rsidRPr="00C370A2">
        <w:rPr>
          <w:rFonts w:eastAsia="Times New Roman" w:cs="Arial"/>
          <w:lang w:val="en-AU" w:eastAsia="en-AU"/>
        </w:rPr>
        <w:t>l</w:t>
      </w:r>
      <w:r w:rsidR="00386D43" w:rsidRPr="00C370A2">
        <w:rPr>
          <w:rFonts w:eastAsia="Times New Roman" w:cs="Arial"/>
          <w:lang w:val="en-AU" w:eastAsia="en-AU"/>
        </w:rPr>
        <w:t>eadership, planning and administration within the Division;</w:t>
      </w:r>
    </w:p>
    <w:p w:rsidR="002C2C95" w:rsidRPr="00C370A2" w:rsidRDefault="00B33D78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 w:rsidRPr="00C370A2">
        <w:rPr>
          <w:rFonts w:eastAsia="Times New Roman" w:cs="Arial"/>
          <w:lang w:val="en-AU" w:eastAsia="en-AU"/>
        </w:rPr>
        <w:t>i</w:t>
      </w:r>
      <w:r w:rsidR="00386D43" w:rsidRPr="00C370A2">
        <w:rPr>
          <w:rFonts w:eastAsia="Times New Roman" w:cs="Arial"/>
          <w:lang w:val="en-AU" w:eastAsia="en-AU"/>
        </w:rPr>
        <w:t>nternal structure for management of operations;</w:t>
      </w:r>
    </w:p>
    <w:p w:rsidR="002C2C95" w:rsidRPr="00C370A2" w:rsidRDefault="00B33D78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 w:rsidRPr="00C370A2">
        <w:rPr>
          <w:rFonts w:eastAsia="Times New Roman" w:cs="Arial"/>
          <w:lang w:val="en-AU" w:eastAsia="en-AU"/>
        </w:rPr>
        <w:t>e</w:t>
      </w:r>
      <w:r w:rsidR="00386D43" w:rsidRPr="00C370A2">
        <w:rPr>
          <w:rFonts w:eastAsia="Times New Roman" w:cs="Arial"/>
          <w:lang w:val="en-AU" w:eastAsia="en-AU"/>
        </w:rPr>
        <w:t>ffectiveness of operations across the campus network;</w:t>
      </w:r>
    </w:p>
    <w:p w:rsidR="002C2C95" w:rsidRPr="00C370A2" w:rsidRDefault="00B33D78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 w:rsidRPr="00C370A2">
        <w:rPr>
          <w:rFonts w:eastAsia="Times New Roman" w:cs="Arial"/>
          <w:lang w:val="en-AU" w:eastAsia="en-AU"/>
        </w:rPr>
        <w:t>D</w:t>
      </w:r>
      <w:r w:rsidR="00386D43" w:rsidRPr="00C370A2">
        <w:rPr>
          <w:rFonts w:eastAsia="Times New Roman" w:cs="Arial"/>
          <w:lang w:val="en-AU" w:eastAsia="en-AU"/>
        </w:rPr>
        <w:t>ivision relationship to other organisational units within the Portfolio and within the University; and</w:t>
      </w:r>
    </w:p>
    <w:p w:rsidR="002C2C95" w:rsidRDefault="00B33D78" w:rsidP="00C370A2">
      <w:pPr>
        <w:pStyle w:val="ListParagraph"/>
        <w:widowControl/>
        <w:numPr>
          <w:ilvl w:val="2"/>
          <w:numId w:val="1"/>
        </w:numPr>
        <w:spacing w:after="120" w:line="276" w:lineRule="auto"/>
        <w:ind w:left="850" w:hanging="425"/>
      </w:pPr>
      <w:proofErr w:type="gramStart"/>
      <w:r w:rsidRPr="00C370A2">
        <w:rPr>
          <w:rFonts w:eastAsia="Times New Roman" w:cs="Arial"/>
          <w:lang w:val="en-AU" w:eastAsia="en-AU"/>
        </w:rPr>
        <w:t>e</w:t>
      </w:r>
      <w:r w:rsidR="00386D43" w:rsidRPr="00C370A2">
        <w:rPr>
          <w:rFonts w:eastAsia="Times New Roman" w:cs="Arial"/>
          <w:lang w:val="en-AU" w:eastAsia="en-AU"/>
        </w:rPr>
        <w:t>xtent</w:t>
      </w:r>
      <w:proofErr w:type="gramEnd"/>
      <w:r w:rsidR="00386D43" w:rsidRPr="00C370A2">
        <w:rPr>
          <w:rFonts w:eastAsia="Times New Roman" w:cs="Arial"/>
          <w:lang w:val="en-AU" w:eastAsia="en-AU"/>
        </w:rPr>
        <w:t xml:space="preserve"> to which sustainability</w:t>
      </w:r>
      <w:r w:rsidR="00386D43">
        <w:rPr>
          <w:spacing w:val="35"/>
        </w:rPr>
        <w:t xml:space="preserve"> </w:t>
      </w:r>
      <w:r w:rsidR="00386D43">
        <w:rPr>
          <w:spacing w:val="-1"/>
        </w:rPr>
        <w:t>principles</w:t>
      </w:r>
      <w:r w:rsidR="00386D43">
        <w:rPr>
          <w:spacing w:val="36"/>
        </w:rPr>
        <w:t xml:space="preserve"> </w:t>
      </w:r>
      <w:r w:rsidR="00386D43">
        <w:t>are</w:t>
      </w:r>
      <w:r w:rsidR="00386D43">
        <w:rPr>
          <w:spacing w:val="35"/>
        </w:rPr>
        <w:t xml:space="preserve"> </w:t>
      </w:r>
      <w:r w:rsidR="00386D43">
        <w:t>embedded</w:t>
      </w:r>
      <w:r w:rsidR="00386D43">
        <w:rPr>
          <w:spacing w:val="36"/>
        </w:rPr>
        <w:t xml:space="preserve"> </w:t>
      </w:r>
      <w:r w:rsidR="00386D43">
        <w:t>within</w:t>
      </w:r>
      <w:r w:rsidR="00386D43">
        <w:rPr>
          <w:spacing w:val="35"/>
        </w:rPr>
        <w:t xml:space="preserve"> </w:t>
      </w:r>
      <w:r w:rsidR="00386D43">
        <w:rPr>
          <w:spacing w:val="-1"/>
        </w:rPr>
        <w:t>planning</w:t>
      </w:r>
      <w:r w:rsidR="00386D43">
        <w:rPr>
          <w:spacing w:val="36"/>
        </w:rPr>
        <w:t xml:space="preserve"> </w:t>
      </w:r>
      <w:r w:rsidR="00386D43">
        <w:t>and</w:t>
      </w:r>
      <w:r w:rsidR="00386D43">
        <w:rPr>
          <w:spacing w:val="59"/>
          <w:w w:val="99"/>
        </w:rPr>
        <w:t xml:space="preserve"> </w:t>
      </w:r>
      <w:r w:rsidR="00386D43">
        <w:t>operations</w:t>
      </w:r>
      <w:r w:rsidR="00386D43">
        <w:rPr>
          <w:spacing w:val="-11"/>
        </w:rPr>
        <w:t xml:space="preserve"> </w:t>
      </w:r>
      <w:r w:rsidR="00386D43">
        <w:rPr>
          <w:spacing w:val="-1"/>
        </w:rPr>
        <w:t>throughout</w:t>
      </w:r>
      <w:r w:rsidR="00386D43">
        <w:rPr>
          <w:spacing w:val="-11"/>
        </w:rPr>
        <w:t xml:space="preserve"> </w:t>
      </w:r>
      <w:r w:rsidR="00386D43">
        <w:t>the</w:t>
      </w:r>
      <w:r w:rsidR="00386D43">
        <w:rPr>
          <w:spacing w:val="-11"/>
        </w:rPr>
        <w:t xml:space="preserve"> </w:t>
      </w:r>
      <w:r w:rsidR="00386D43">
        <w:t>Division.</w:t>
      </w:r>
    </w:p>
    <w:p w:rsidR="002C2C95" w:rsidRPr="00C370A2" w:rsidRDefault="00386D43" w:rsidP="00C370A2">
      <w:pPr>
        <w:pStyle w:val="Heading2"/>
        <w:numPr>
          <w:ilvl w:val="1"/>
          <w:numId w:val="1"/>
        </w:numPr>
        <w:spacing w:before="240" w:after="0" w:line="276" w:lineRule="auto"/>
        <w:ind w:left="578" w:hanging="578"/>
        <w:rPr>
          <w:rFonts w:asciiTheme="minorHAnsi" w:hAnsiTheme="minorHAnsi"/>
          <w:bCs/>
        </w:rPr>
      </w:pPr>
      <w:r w:rsidRPr="00C370A2">
        <w:rPr>
          <w:rFonts w:asciiTheme="minorHAnsi" w:hAnsiTheme="minorHAnsi"/>
        </w:rPr>
        <w:t>Division Objectives and Service Expectation</w:t>
      </w:r>
    </w:p>
    <w:p w:rsidR="002C2C95" w:rsidRPr="00C370A2" w:rsidRDefault="00B33D78" w:rsidP="00C370A2">
      <w:pPr>
        <w:widowControl/>
        <w:spacing w:line="276" w:lineRule="auto"/>
        <w:rPr>
          <w:rFonts w:eastAsia="Times New Roman" w:cs="Arial"/>
          <w:lang w:val="en-AU" w:eastAsia="en-AU"/>
        </w:rPr>
      </w:pPr>
      <w:r>
        <w:t>The Panel should a</w:t>
      </w:r>
      <w:r w:rsidR="00386D43">
        <w:t>ssess</w:t>
      </w:r>
      <w:r w:rsidR="00386D43" w:rsidRPr="00C370A2">
        <w:t xml:space="preserve"> whether </w:t>
      </w:r>
      <w:r w:rsidR="00386D43">
        <w:t>the</w:t>
      </w:r>
      <w:r w:rsidR="00386D43" w:rsidRPr="00C370A2">
        <w:t xml:space="preserve"> </w:t>
      </w:r>
      <w:r w:rsidR="00386D43">
        <w:t>identified</w:t>
      </w:r>
      <w:r w:rsidR="00386D43" w:rsidRPr="00C370A2">
        <w:t xml:space="preserve"> </w:t>
      </w:r>
      <w:r w:rsidR="00386D43">
        <w:t>functions</w:t>
      </w:r>
      <w:r w:rsidR="00386D43" w:rsidRPr="00C370A2">
        <w:t xml:space="preserve"> </w:t>
      </w:r>
      <w:r w:rsidR="00386D43">
        <w:t>and</w:t>
      </w:r>
      <w:r w:rsidR="00386D43" w:rsidRPr="00C370A2">
        <w:t xml:space="preserve"> </w:t>
      </w:r>
      <w:r w:rsidR="00386D43">
        <w:t>goals</w:t>
      </w:r>
      <w:r w:rsidR="00386D43" w:rsidRPr="00C370A2">
        <w:t xml:space="preserve"> </w:t>
      </w:r>
      <w:r w:rsidR="00386D43">
        <w:t>of</w:t>
      </w:r>
      <w:r w:rsidR="00386D43" w:rsidRPr="00C370A2">
        <w:t xml:space="preserve"> </w:t>
      </w:r>
      <w:r w:rsidR="00386D43">
        <w:t>the</w:t>
      </w:r>
      <w:r w:rsidR="00386D43" w:rsidRPr="00C370A2">
        <w:t xml:space="preserve"> </w:t>
      </w:r>
      <w:r w:rsidR="00386D43">
        <w:t>Division</w:t>
      </w:r>
      <w:r w:rsidR="00386D43" w:rsidRPr="00C370A2">
        <w:t xml:space="preserve"> </w:t>
      </w:r>
      <w:r w:rsidR="00386D43">
        <w:t>are</w:t>
      </w:r>
      <w:r w:rsidR="00386D43" w:rsidRPr="00C370A2">
        <w:t xml:space="preserve"> </w:t>
      </w:r>
      <w:r w:rsidR="00386D43">
        <w:t>consistent</w:t>
      </w:r>
      <w:r w:rsidR="00386D43" w:rsidRPr="00C370A2">
        <w:t xml:space="preserve"> with </w:t>
      </w:r>
      <w:r w:rsidR="00386D43">
        <w:t>La</w:t>
      </w:r>
      <w:r w:rsidR="00386D43" w:rsidRPr="00C370A2">
        <w:t xml:space="preserve"> </w:t>
      </w:r>
      <w:r w:rsidR="00386D43">
        <w:t>Trobe</w:t>
      </w:r>
      <w:r w:rsidR="00386D43" w:rsidRPr="00C370A2">
        <w:t xml:space="preserve"> </w:t>
      </w:r>
      <w:r w:rsidR="00386D43">
        <w:t>University’s</w:t>
      </w:r>
      <w:r w:rsidR="00386D43" w:rsidRPr="00C370A2">
        <w:t xml:space="preserve"> </w:t>
      </w:r>
      <w:r w:rsidR="00386D43">
        <w:t>Strategic</w:t>
      </w:r>
      <w:r w:rsidR="00386D43" w:rsidRPr="00C370A2">
        <w:t xml:space="preserve"> </w:t>
      </w:r>
      <w:r w:rsidR="00386D43">
        <w:t>Plan</w:t>
      </w:r>
      <w:r w:rsidR="00386D43" w:rsidRPr="00C370A2">
        <w:t xml:space="preserve"> </w:t>
      </w:r>
      <w:r w:rsidR="00386D43">
        <w:t>and</w:t>
      </w:r>
      <w:r w:rsidR="00386D43" w:rsidRPr="00C370A2">
        <w:t xml:space="preserve"> </w:t>
      </w:r>
      <w:r w:rsidR="00386D43">
        <w:t>Objectives.</w:t>
      </w:r>
      <w:r w:rsidR="00696E87">
        <w:t xml:space="preserve">  Consideration is to be given to: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c</w:t>
      </w:r>
      <w:r w:rsidR="00386D43" w:rsidRPr="00C370A2">
        <w:rPr>
          <w:rFonts w:eastAsia="Times New Roman" w:cs="Arial"/>
          <w:lang w:val="en-AU" w:eastAsia="en-AU"/>
        </w:rPr>
        <w:t>urrent scope and objectives of the Division (as expressed in mission/service statement and Business Plan) and the degree to which these are ‘fit for purpose’ for the achievement of the University’s Strategic Plan and related plans; and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proofErr w:type="gramStart"/>
      <w:r>
        <w:rPr>
          <w:rFonts w:eastAsia="Times New Roman" w:cs="Arial"/>
          <w:lang w:val="en-AU" w:eastAsia="en-AU"/>
        </w:rPr>
        <w:t>c</w:t>
      </w:r>
      <w:r w:rsidR="00386D43" w:rsidRPr="00C370A2">
        <w:rPr>
          <w:rFonts w:eastAsia="Times New Roman" w:cs="Arial"/>
          <w:lang w:val="en-AU" w:eastAsia="en-AU"/>
        </w:rPr>
        <w:t>hallenges</w:t>
      </w:r>
      <w:proofErr w:type="gramEnd"/>
      <w:r w:rsidR="00386D43" w:rsidRPr="00C370A2">
        <w:rPr>
          <w:rFonts w:eastAsia="Times New Roman" w:cs="Arial"/>
          <w:lang w:val="en-AU" w:eastAsia="en-AU"/>
        </w:rPr>
        <w:t xml:space="preserve"> for the Division in performing its functions and achieving goals; and emerging changes in the Division’s strategic or functional direction.</w:t>
      </w:r>
    </w:p>
    <w:p w:rsidR="001471EB" w:rsidRDefault="001471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2C2C95" w:rsidRPr="00C370A2" w:rsidRDefault="00386D43" w:rsidP="00C370A2">
      <w:pPr>
        <w:pStyle w:val="Heading2"/>
        <w:numPr>
          <w:ilvl w:val="1"/>
          <w:numId w:val="1"/>
        </w:numPr>
        <w:spacing w:before="240" w:after="0" w:line="276" w:lineRule="auto"/>
        <w:ind w:left="578" w:hanging="578"/>
        <w:rPr>
          <w:rFonts w:asciiTheme="minorHAnsi" w:hAnsiTheme="minorHAnsi"/>
          <w:bCs/>
        </w:rPr>
      </w:pPr>
      <w:r w:rsidRPr="00C370A2">
        <w:rPr>
          <w:rFonts w:asciiTheme="minorHAnsi" w:hAnsiTheme="minorHAnsi"/>
        </w:rPr>
        <w:lastRenderedPageBreak/>
        <w:t>Effectiveness</w:t>
      </w:r>
    </w:p>
    <w:p w:rsidR="002C2C95" w:rsidRPr="00C370A2" w:rsidRDefault="00B33D78" w:rsidP="00C370A2">
      <w:pPr>
        <w:rPr>
          <w:rFonts w:ascii="Arial" w:eastAsia="Arial" w:hAnsi="Arial"/>
          <w:lang w:val="en-AU" w:eastAsia="en-AU"/>
        </w:rPr>
      </w:pPr>
      <w:r w:rsidRPr="00F2378C">
        <w:t>The Panel should a</w:t>
      </w:r>
      <w:r w:rsidR="00386D43" w:rsidRPr="00F2378C">
        <w:t>ssess</w:t>
      </w:r>
      <w:r w:rsidR="00386D43" w:rsidRPr="00C370A2">
        <w:t xml:space="preserve"> the efficiency</w:t>
      </w:r>
      <w:r w:rsidR="00386D43" w:rsidRPr="00F2378C">
        <w:t xml:space="preserve"> and </w:t>
      </w:r>
      <w:r w:rsidR="00386D43" w:rsidRPr="00C370A2">
        <w:t xml:space="preserve">effectiveness </w:t>
      </w:r>
      <w:r w:rsidR="00386D43" w:rsidRPr="00F2378C">
        <w:t>of</w:t>
      </w:r>
      <w:r w:rsidR="00386D43" w:rsidRPr="00C370A2">
        <w:t xml:space="preserve"> the </w:t>
      </w:r>
      <w:r w:rsidR="00386D43" w:rsidRPr="00F2378C">
        <w:t>Division</w:t>
      </w:r>
      <w:r w:rsidR="00386D43" w:rsidRPr="00C370A2">
        <w:t xml:space="preserve"> </w:t>
      </w:r>
      <w:r w:rsidR="00696E87" w:rsidRPr="00F2378C">
        <w:t xml:space="preserve">in </w:t>
      </w:r>
      <w:r w:rsidR="00386D43" w:rsidRPr="00F2378C">
        <w:t>meeting its</w:t>
      </w:r>
      <w:r w:rsidR="00696E87" w:rsidRPr="00F2378C">
        <w:t xml:space="preserve"> </w:t>
      </w:r>
      <w:r w:rsidR="00386D43" w:rsidRPr="004D09EE">
        <w:t>identified</w:t>
      </w:r>
      <w:r w:rsidR="00386D43" w:rsidRPr="00C370A2">
        <w:t xml:space="preserve"> </w:t>
      </w:r>
      <w:r w:rsidR="00386D43" w:rsidRPr="00F2378C">
        <w:t>functions</w:t>
      </w:r>
      <w:r w:rsidR="00386D43" w:rsidRPr="00C370A2">
        <w:t xml:space="preserve"> and </w:t>
      </w:r>
      <w:r w:rsidR="00386D43" w:rsidRPr="00F2378C">
        <w:t>goals</w:t>
      </w:r>
      <w:r w:rsidR="00696E87" w:rsidRPr="00F2378C">
        <w:t xml:space="preserve"> by considering</w:t>
      </w:r>
      <w:r>
        <w:t>: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t</w:t>
      </w:r>
      <w:r w:rsidR="00386D43" w:rsidRPr="00C370A2">
        <w:rPr>
          <w:rFonts w:eastAsia="Times New Roman" w:cs="Arial"/>
          <w:lang w:val="en-AU" w:eastAsia="en-AU"/>
        </w:rPr>
        <w:t>he trend in and current performance of the Division, including a critical evaluation of performance over time and relative to comparable benchmarks within and outside higher education;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a</w:t>
      </w:r>
      <w:r w:rsidR="00386D43" w:rsidRPr="00C370A2">
        <w:rPr>
          <w:rFonts w:eastAsia="Times New Roman" w:cs="Arial"/>
          <w:lang w:val="en-AU" w:eastAsia="en-AU"/>
        </w:rPr>
        <w:t>ny areas of good practice and the Division’s success and outcomes in performing functions and achieving goals; and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after="120" w:line="276" w:lineRule="auto"/>
        <w:ind w:left="850" w:hanging="425"/>
        <w:rPr>
          <w:rFonts w:eastAsia="Times New Roman" w:cs="Arial"/>
          <w:lang w:val="en-AU" w:eastAsia="en-AU"/>
        </w:rPr>
      </w:pPr>
      <w:proofErr w:type="gramStart"/>
      <w:r>
        <w:rPr>
          <w:rFonts w:eastAsia="Times New Roman" w:cs="Arial"/>
          <w:lang w:val="en-AU" w:eastAsia="en-AU"/>
        </w:rPr>
        <w:t>a</w:t>
      </w:r>
      <w:r w:rsidR="00386D43" w:rsidRPr="00C370A2">
        <w:rPr>
          <w:rFonts w:eastAsia="Times New Roman" w:cs="Arial"/>
          <w:lang w:val="en-AU" w:eastAsia="en-AU"/>
        </w:rPr>
        <w:t>reas</w:t>
      </w:r>
      <w:proofErr w:type="gramEnd"/>
      <w:r w:rsidR="00386D43" w:rsidRPr="00C370A2">
        <w:rPr>
          <w:rFonts w:eastAsia="Times New Roman" w:cs="Arial"/>
          <w:lang w:val="en-AU" w:eastAsia="en-AU"/>
        </w:rPr>
        <w:t xml:space="preserve"> requiring improvement.</w:t>
      </w:r>
    </w:p>
    <w:p w:rsidR="002C2C95" w:rsidRPr="00C370A2" w:rsidRDefault="00386D43" w:rsidP="00C370A2">
      <w:pPr>
        <w:pStyle w:val="Heading2"/>
        <w:numPr>
          <w:ilvl w:val="1"/>
          <w:numId w:val="1"/>
        </w:numPr>
        <w:spacing w:before="240" w:after="0" w:line="276" w:lineRule="auto"/>
        <w:ind w:left="578" w:hanging="578"/>
        <w:rPr>
          <w:rFonts w:asciiTheme="minorHAnsi" w:hAnsiTheme="minorHAnsi"/>
          <w:bCs/>
        </w:rPr>
      </w:pPr>
      <w:r w:rsidRPr="00C370A2">
        <w:rPr>
          <w:rFonts w:asciiTheme="minorHAnsi" w:hAnsiTheme="minorHAnsi"/>
        </w:rPr>
        <w:t>Commitment to Continuous Improvement and Service Culture</w:t>
      </w:r>
    </w:p>
    <w:p w:rsidR="002C2C95" w:rsidRPr="004D09EE" w:rsidRDefault="00B33D78" w:rsidP="00C370A2">
      <w:r>
        <w:t>The Panel should c</w:t>
      </w:r>
      <w:r w:rsidR="00386D43" w:rsidRPr="004D09EE">
        <w:t>onsider</w:t>
      </w:r>
      <w:r w:rsidR="00386D43" w:rsidRPr="00C370A2">
        <w:t xml:space="preserve"> </w:t>
      </w:r>
      <w:r w:rsidR="00386D43" w:rsidRPr="004D09EE">
        <w:t>the</w:t>
      </w:r>
      <w:r w:rsidR="00386D43" w:rsidRPr="00C370A2">
        <w:t xml:space="preserve"> </w:t>
      </w:r>
      <w:r w:rsidR="00386D43" w:rsidRPr="004D09EE">
        <w:t>effectiveness</w:t>
      </w:r>
      <w:r w:rsidR="00386D43" w:rsidRPr="00C370A2">
        <w:t xml:space="preserve"> </w:t>
      </w:r>
      <w:r w:rsidR="00386D43" w:rsidRPr="004D09EE">
        <w:t>of</w:t>
      </w:r>
      <w:r w:rsidR="00386D43" w:rsidRPr="00C370A2">
        <w:t xml:space="preserve"> </w:t>
      </w:r>
      <w:r w:rsidR="00386D43" w:rsidRPr="004D09EE">
        <w:t>practices</w:t>
      </w:r>
      <w:r w:rsidR="00386D43" w:rsidRPr="00C370A2">
        <w:t xml:space="preserve"> for </w:t>
      </w:r>
      <w:r w:rsidR="00386D43" w:rsidRPr="004D09EE">
        <w:t>quality</w:t>
      </w:r>
      <w:r w:rsidR="00386D43" w:rsidRPr="00C370A2">
        <w:t xml:space="preserve"> </w:t>
      </w:r>
      <w:r w:rsidR="00386D43" w:rsidRPr="004D09EE">
        <w:t>assurance</w:t>
      </w:r>
      <w:r w:rsidR="00386D43" w:rsidRPr="00C370A2">
        <w:t xml:space="preserve"> </w:t>
      </w:r>
      <w:r w:rsidR="00386D43" w:rsidRPr="004D09EE">
        <w:t>and</w:t>
      </w:r>
      <w:r w:rsidR="00386D43" w:rsidRPr="00C370A2">
        <w:t xml:space="preserve"> </w:t>
      </w:r>
      <w:r w:rsidR="00386D43" w:rsidRPr="004D09EE">
        <w:t>improvement</w:t>
      </w:r>
      <w:r w:rsidR="00386D43" w:rsidRPr="00C370A2">
        <w:t xml:space="preserve"> </w:t>
      </w:r>
      <w:r w:rsidR="00386D43" w:rsidRPr="004D09EE">
        <w:t>across</w:t>
      </w:r>
      <w:r w:rsidR="00386D43" w:rsidRPr="00C370A2">
        <w:t xml:space="preserve"> all </w:t>
      </w:r>
      <w:r w:rsidR="00386D43" w:rsidRPr="004D09EE">
        <w:t>areas</w:t>
      </w:r>
      <w:r w:rsidR="00386D43" w:rsidRPr="00C370A2">
        <w:t xml:space="preserve"> </w:t>
      </w:r>
      <w:r w:rsidR="00386D43" w:rsidRPr="004D09EE">
        <w:t>of</w:t>
      </w:r>
      <w:r w:rsidR="00386D43" w:rsidRPr="00C370A2">
        <w:t xml:space="preserve"> operation, including: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t</w:t>
      </w:r>
      <w:r w:rsidR="00386D43" w:rsidRPr="00C370A2">
        <w:rPr>
          <w:rFonts w:eastAsia="Times New Roman" w:cs="Arial"/>
          <w:lang w:val="en-AU" w:eastAsia="en-AU"/>
        </w:rPr>
        <w:t>he mechanisms in place for the collection and analysis of relevant service performance and effectiveness data (including relevant comparative data of effectiveness);</w:t>
      </w:r>
    </w:p>
    <w:p w:rsidR="002C2C95" w:rsidRDefault="00E77F1E" w:rsidP="00C370A2">
      <w:pPr>
        <w:pStyle w:val="ListParagraph"/>
        <w:widowControl/>
        <w:numPr>
          <w:ilvl w:val="2"/>
          <w:numId w:val="1"/>
        </w:numPr>
        <w:spacing w:after="120" w:line="276" w:lineRule="auto"/>
        <w:ind w:left="850" w:hanging="425"/>
        <w:rPr>
          <w:rFonts w:eastAsia="Times New Roman" w:cs="Arial"/>
          <w:lang w:val="en-AU" w:eastAsia="en-AU"/>
        </w:rPr>
      </w:pPr>
      <w:proofErr w:type="gramStart"/>
      <w:r>
        <w:rPr>
          <w:rFonts w:eastAsia="Times New Roman" w:cs="Arial"/>
          <w:lang w:val="en-AU" w:eastAsia="en-AU"/>
        </w:rPr>
        <w:t>t</w:t>
      </w:r>
      <w:r w:rsidR="00386D43" w:rsidRPr="00C370A2">
        <w:rPr>
          <w:rFonts w:eastAsia="Times New Roman" w:cs="Arial"/>
          <w:lang w:val="en-AU" w:eastAsia="en-AU"/>
        </w:rPr>
        <w:t>he</w:t>
      </w:r>
      <w:proofErr w:type="gramEnd"/>
      <w:r w:rsidR="00386D43" w:rsidRPr="00C370A2">
        <w:rPr>
          <w:rFonts w:eastAsia="Times New Roman" w:cs="Arial"/>
          <w:lang w:val="en-AU" w:eastAsia="en-AU"/>
        </w:rPr>
        <w:t xml:space="preserve"> systems and processes to implement improvements as a result of external feedback and comparative data.</w:t>
      </w:r>
    </w:p>
    <w:p w:rsidR="002C2C95" w:rsidRPr="00C370A2" w:rsidRDefault="00386D43" w:rsidP="00C370A2">
      <w:pPr>
        <w:pStyle w:val="Heading2"/>
        <w:numPr>
          <w:ilvl w:val="1"/>
          <w:numId w:val="1"/>
        </w:numPr>
        <w:spacing w:before="240" w:after="0" w:line="276" w:lineRule="auto"/>
        <w:ind w:left="578" w:hanging="578"/>
        <w:rPr>
          <w:rFonts w:asciiTheme="minorHAnsi" w:hAnsiTheme="minorHAnsi"/>
          <w:bCs/>
        </w:rPr>
      </w:pPr>
      <w:r w:rsidRPr="00C370A2">
        <w:rPr>
          <w:rFonts w:asciiTheme="minorHAnsi" w:hAnsiTheme="minorHAnsi"/>
        </w:rPr>
        <w:t>Human Resource Management</w:t>
      </w:r>
    </w:p>
    <w:p w:rsidR="002C2C95" w:rsidRPr="004D09EE" w:rsidRDefault="00F2378C" w:rsidP="00C370A2">
      <w:r w:rsidRPr="004D09EE">
        <w:t>The Panel should c</w:t>
      </w:r>
      <w:r w:rsidR="00386D43" w:rsidRPr="00C370A2">
        <w:t>onsider</w:t>
      </w:r>
      <w:r w:rsidR="00386D43" w:rsidRPr="004D09EE">
        <w:t xml:space="preserve"> the</w:t>
      </w:r>
      <w:r w:rsidR="00386D43" w:rsidRPr="00C370A2">
        <w:t xml:space="preserve"> </w:t>
      </w:r>
      <w:r w:rsidR="00386D43" w:rsidRPr="004D09EE">
        <w:t>effective</w:t>
      </w:r>
      <w:r w:rsidR="00386D43" w:rsidRPr="00C370A2">
        <w:t xml:space="preserve"> </w:t>
      </w:r>
      <w:r w:rsidR="00386D43" w:rsidRPr="004D09EE">
        <w:t>management</w:t>
      </w:r>
      <w:r w:rsidR="00386D43" w:rsidRPr="00C370A2">
        <w:t xml:space="preserve"> </w:t>
      </w:r>
      <w:r w:rsidR="00386D43" w:rsidRPr="004D09EE">
        <w:t>of the</w:t>
      </w:r>
      <w:r w:rsidR="00386D43" w:rsidRPr="00C370A2">
        <w:t xml:space="preserve"> </w:t>
      </w:r>
      <w:r w:rsidR="00386D43" w:rsidRPr="004D09EE">
        <w:t>Division’s</w:t>
      </w:r>
      <w:r w:rsidR="00386D43" w:rsidRPr="00C370A2">
        <w:t xml:space="preserve"> </w:t>
      </w:r>
      <w:r w:rsidR="00386D43" w:rsidRPr="004D09EE">
        <w:t>human</w:t>
      </w:r>
      <w:r w:rsidR="00386D43" w:rsidRPr="00C370A2">
        <w:t xml:space="preserve"> </w:t>
      </w:r>
      <w:r w:rsidR="00386D43" w:rsidRPr="004D09EE">
        <w:t>resources,</w:t>
      </w:r>
      <w:r w:rsidR="00386D43" w:rsidRPr="00C370A2">
        <w:t xml:space="preserve"> </w:t>
      </w:r>
      <w:r w:rsidR="00386D43" w:rsidRPr="004D09EE">
        <w:t>including: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s</w:t>
      </w:r>
      <w:r w:rsidR="00386D43" w:rsidRPr="00C370A2">
        <w:rPr>
          <w:rFonts w:eastAsia="Times New Roman" w:cs="Arial"/>
          <w:lang w:val="en-AU" w:eastAsia="en-AU"/>
        </w:rPr>
        <w:t>taff recruitment and retention strategies;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w</w:t>
      </w:r>
      <w:r w:rsidR="00386D43" w:rsidRPr="00C370A2">
        <w:rPr>
          <w:rFonts w:eastAsia="Times New Roman" w:cs="Arial"/>
          <w:lang w:val="en-AU" w:eastAsia="en-AU"/>
        </w:rPr>
        <w:t>orkforce and succession planning (including leadership capability building;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i</w:t>
      </w:r>
      <w:r w:rsidR="00386D43" w:rsidRPr="00C370A2">
        <w:rPr>
          <w:rFonts w:eastAsia="Times New Roman" w:cs="Arial"/>
          <w:lang w:val="en-AU" w:eastAsia="en-AU"/>
        </w:rPr>
        <w:t>dentified deficiencies or gaps in capability/qualifications impacting on Divisional performance;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e</w:t>
      </w:r>
      <w:r w:rsidR="00366C22" w:rsidRPr="00C370A2">
        <w:rPr>
          <w:rFonts w:eastAsia="Times New Roman" w:cs="Arial"/>
          <w:lang w:val="en-AU" w:eastAsia="en-AU"/>
        </w:rPr>
        <w:t xml:space="preserve">xtent </w:t>
      </w:r>
      <w:r w:rsidR="00386D43" w:rsidRPr="00C370A2">
        <w:rPr>
          <w:rFonts w:eastAsia="Times New Roman" w:cs="Arial"/>
          <w:lang w:val="en-AU" w:eastAsia="en-AU"/>
        </w:rPr>
        <w:t>and</w:t>
      </w:r>
      <w:r w:rsidR="00366C22" w:rsidRPr="00C370A2">
        <w:rPr>
          <w:rFonts w:eastAsia="Times New Roman" w:cs="Arial"/>
          <w:lang w:val="en-AU" w:eastAsia="en-AU"/>
        </w:rPr>
        <w:t xml:space="preserve"> </w:t>
      </w:r>
      <w:r w:rsidR="00386D43" w:rsidRPr="00C370A2">
        <w:rPr>
          <w:rFonts w:eastAsia="Times New Roman" w:cs="Arial"/>
          <w:lang w:val="en-AU" w:eastAsia="en-AU"/>
        </w:rPr>
        <w:t>effectiveness</w:t>
      </w:r>
      <w:r w:rsidR="00366C22" w:rsidRPr="00C370A2">
        <w:rPr>
          <w:rFonts w:eastAsia="Times New Roman" w:cs="Arial"/>
          <w:lang w:val="en-AU" w:eastAsia="en-AU"/>
        </w:rPr>
        <w:t xml:space="preserve"> </w:t>
      </w:r>
      <w:r w:rsidR="00386D43" w:rsidRPr="00C370A2">
        <w:rPr>
          <w:rFonts w:eastAsia="Times New Roman" w:cs="Arial"/>
          <w:lang w:val="en-AU" w:eastAsia="en-AU"/>
        </w:rPr>
        <w:t>of</w:t>
      </w:r>
      <w:r w:rsidR="00366C22" w:rsidRPr="00C370A2">
        <w:rPr>
          <w:rFonts w:eastAsia="Times New Roman" w:cs="Arial"/>
          <w:lang w:val="en-AU" w:eastAsia="en-AU"/>
        </w:rPr>
        <w:t xml:space="preserve"> </w:t>
      </w:r>
      <w:r w:rsidR="00386D43" w:rsidRPr="00C370A2">
        <w:rPr>
          <w:rFonts w:eastAsia="Times New Roman" w:cs="Arial"/>
          <w:lang w:val="en-AU" w:eastAsia="en-AU"/>
        </w:rPr>
        <w:t>training</w:t>
      </w:r>
      <w:r w:rsidR="00366C22" w:rsidRPr="00C370A2">
        <w:rPr>
          <w:rFonts w:eastAsia="Times New Roman" w:cs="Arial"/>
          <w:lang w:val="en-AU" w:eastAsia="en-AU"/>
        </w:rPr>
        <w:t xml:space="preserve"> </w:t>
      </w:r>
      <w:r w:rsidR="00386D43" w:rsidRPr="00C370A2">
        <w:rPr>
          <w:rFonts w:eastAsia="Times New Roman" w:cs="Arial"/>
          <w:lang w:val="en-AU" w:eastAsia="en-AU"/>
        </w:rPr>
        <w:t>and</w:t>
      </w:r>
      <w:r w:rsidR="00366C22" w:rsidRPr="00C370A2">
        <w:rPr>
          <w:rFonts w:eastAsia="Times New Roman" w:cs="Arial"/>
          <w:lang w:val="en-AU" w:eastAsia="en-AU"/>
        </w:rPr>
        <w:t xml:space="preserve"> </w:t>
      </w:r>
      <w:r w:rsidR="00386D43" w:rsidRPr="00C370A2">
        <w:rPr>
          <w:rFonts w:eastAsia="Times New Roman" w:cs="Arial"/>
          <w:lang w:val="en-AU" w:eastAsia="en-AU"/>
        </w:rPr>
        <w:t>professional</w:t>
      </w:r>
      <w:r w:rsidR="00366C22" w:rsidRPr="00C370A2">
        <w:rPr>
          <w:rFonts w:eastAsia="Times New Roman" w:cs="Arial"/>
          <w:lang w:val="en-AU" w:eastAsia="en-AU"/>
        </w:rPr>
        <w:t xml:space="preserve"> </w:t>
      </w:r>
      <w:r w:rsidR="00386D43" w:rsidRPr="00C370A2">
        <w:rPr>
          <w:rFonts w:eastAsia="Times New Roman" w:cs="Arial"/>
          <w:lang w:val="en-AU" w:eastAsia="en-AU"/>
        </w:rPr>
        <w:t>development opportunities for staff;</w:t>
      </w:r>
    </w:p>
    <w:p w:rsidR="002C2C95" w:rsidRPr="00C370A2" w:rsidRDefault="00386D43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 w:rsidRPr="00C370A2">
        <w:rPr>
          <w:rFonts w:eastAsia="Times New Roman" w:cs="Arial"/>
          <w:lang w:val="en-AU" w:eastAsia="en-AU"/>
        </w:rPr>
        <w:t>Division communication, consultation and decision-making mechanisms; and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after="120" w:line="276" w:lineRule="auto"/>
        <w:ind w:left="850" w:hanging="425"/>
        <w:rPr>
          <w:rFonts w:eastAsia="Times New Roman" w:cs="Arial"/>
          <w:lang w:val="en-AU" w:eastAsia="en-AU"/>
        </w:rPr>
      </w:pPr>
      <w:proofErr w:type="gramStart"/>
      <w:r>
        <w:rPr>
          <w:rFonts w:eastAsia="Times New Roman" w:cs="Arial"/>
          <w:lang w:val="en-AU" w:eastAsia="en-AU"/>
        </w:rPr>
        <w:t>m</w:t>
      </w:r>
      <w:r w:rsidR="00386D43" w:rsidRPr="00C370A2">
        <w:rPr>
          <w:rFonts w:eastAsia="Times New Roman" w:cs="Arial"/>
          <w:lang w:val="en-AU" w:eastAsia="en-AU"/>
        </w:rPr>
        <w:t>anagement</w:t>
      </w:r>
      <w:proofErr w:type="gramEnd"/>
      <w:r w:rsidR="00386D43" w:rsidRPr="00C370A2">
        <w:rPr>
          <w:rFonts w:eastAsia="Times New Roman" w:cs="Arial"/>
          <w:lang w:val="en-AU" w:eastAsia="en-AU"/>
        </w:rPr>
        <w:t xml:space="preserve"> of occupational health and safety.</w:t>
      </w:r>
    </w:p>
    <w:p w:rsidR="002C2C95" w:rsidRPr="00C370A2" w:rsidRDefault="00386D43" w:rsidP="00C370A2">
      <w:pPr>
        <w:pStyle w:val="Heading2"/>
        <w:numPr>
          <w:ilvl w:val="1"/>
          <w:numId w:val="1"/>
        </w:numPr>
        <w:spacing w:before="240" w:after="0" w:line="276" w:lineRule="auto"/>
        <w:ind w:left="578" w:hanging="578"/>
        <w:rPr>
          <w:rFonts w:asciiTheme="minorHAnsi" w:hAnsiTheme="minorHAnsi"/>
          <w:bCs/>
        </w:rPr>
      </w:pPr>
      <w:r w:rsidRPr="00C370A2">
        <w:rPr>
          <w:rFonts w:asciiTheme="minorHAnsi" w:hAnsiTheme="minorHAnsi"/>
        </w:rPr>
        <w:t>Resources</w:t>
      </w:r>
    </w:p>
    <w:p w:rsidR="002C2C95" w:rsidRPr="004D09EE" w:rsidRDefault="00F2378C" w:rsidP="00C370A2">
      <w:r>
        <w:t>The Panel should c</w:t>
      </w:r>
      <w:r w:rsidR="00386D43" w:rsidRPr="004D09EE">
        <w:t>onsider</w:t>
      </w:r>
      <w:r w:rsidR="00386D43" w:rsidRPr="00C370A2">
        <w:t xml:space="preserve"> </w:t>
      </w:r>
      <w:r w:rsidR="00386D43" w:rsidRPr="004D09EE">
        <w:t>the</w:t>
      </w:r>
      <w:r w:rsidR="00386D43" w:rsidRPr="00C370A2">
        <w:t xml:space="preserve"> effective </w:t>
      </w:r>
      <w:r w:rsidR="00386D43" w:rsidRPr="004D09EE">
        <w:t>management</w:t>
      </w:r>
      <w:r w:rsidR="00386D43" w:rsidRPr="00C370A2">
        <w:t xml:space="preserve"> </w:t>
      </w:r>
      <w:r w:rsidR="00386D43" w:rsidRPr="004D09EE">
        <w:t>of</w:t>
      </w:r>
      <w:r w:rsidR="00386D43" w:rsidRPr="00C370A2">
        <w:t xml:space="preserve"> </w:t>
      </w:r>
      <w:r w:rsidR="00386D43" w:rsidRPr="004D09EE">
        <w:t>the</w:t>
      </w:r>
      <w:r w:rsidR="00386D43" w:rsidRPr="00C370A2">
        <w:t xml:space="preserve"> </w:t>
      </w:r>
      <w:r w:rsidR="00386D43" w:rsidRPr="004D09EE">
        <w:t>Division’s</w:t>
      </w:r>
      <w:r w:rsidR="00386D43" w:rsidRPr="00C370A2">
        <w:t xml:space="preserve"> </w:t>
      </w:r>
      <w:r w:rsidR="00386D43" w:rsidRPr="004D09EE">
        <w:t>financial</w:t>
      </w:r>
      <w:r w:rsidR="00386D43" w:rsidRPr="00C370A2">
        <w:t xml:space="preserve"> </w:t>
      </w:r>
      <w:r w:rsidR="00386D43" w:rsidRPr="004D09EE">
        <w:t>and</w:t>
      </w:r>
      <w:r w:rsidR="00386D43" w:rsidRPr="00C370A2">
        <w:t xml:space="preserve"> </w:t>
      </w:r>
      <w:r w:rsidR="00386D43" w:rsidRPr="004D09EE">
        <w:t>capital</w:t>
      </w:r>
      <w:r w:rsidR="00386D43" w:rsidRPr="00C370A2">
        <w:t xml:space="preserve"> assets, including: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c</w:t>
      </w:r>
      <w:r w:rsidR="00386D43" w:rsidRPr="00C370A2">
        <w:rPr>
          <w:rFonts w:eastAsia="Times New Roman" w:cs="Arial"/>
          <w:lang w:val="en-AU" w:eastAsia="en-AU"/>
        </w:rPr>
        <w:t>urrent budget allocation and financial allocations and performance for the past five years;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g</w:t>
      </w:r>
      <w:r w:rsidR="00386D43" w:rsidRPr="00C370A2">
        <w:rPr>
          <w:rFonts w:eastAsia="Times New Roman" w:cs="Arial"/>
          <w:lang w:val="en-AU" w:eastAsia="en-AU"/>
        </w:rPr>
        <w:t>eneration of non-government income streams (where applicable);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f</w:t>
      </w:r>
      <w:r w:rsidR="00386D43" w:rsidRPr="00C370A2">
        <w:rPr>
          <w:rFonts w:eastAsia="Times New Roman" w:cs="Arial"/>
          <w:lang w:val="en-AU" w:eastAsia="en-AU"/>
        </w:rPr>
        <w:t>itness for purpose’ of major equipment items;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t</w:t>
      </w:r>
      <w:r w:rsidR="00386D43" w:rsidRPr="00C370A2">
        <w:rPr>
          <w:rFonts w:eastAsia="Times New Roman" w:cs="Arial"/>
          <w:lang w:val="en-AU" w:eastAsia="en-AU"/>
        </w:rPr>
        <w:t>he adequacy of ICT infrastructure in support of the Division’s operations;</w:t>
      </w:r>
    </w:p>
    <w:p w:rsidR="002C2C95" w:rsidRPr="00C370A2" w:rsidRDefault="00E77F1E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r>
        <w:rPr>
          <w:rFonts w:eastAsia="Times New Roman" w:cs="Arial"/>
          <w:lang w:val="en-AU" w:eastAsia="en-AU"/>
        </w:rPr>
        <w:t>a</w:t>
      </w:r>
      <w:r w:rsidR="00386D43" w:rsidRPr="00C370A2">
        <w:rPr>
          <w:rFonts w:eastAsia="Times New Roman" w:cs="Arial"/>
          <w:lang w:val="en-AU" w:eastAsia="en-AU"/>
        </w:rPr>
        <w:t>sset management plans; and</w:t>
      </w:r>
    </w:p>
    <w:p w:rsidR="002C2C95" w:rsidRPr="00C370A2" w:rsidRDefault="001471EB" w:rsidP="00C370A2">
      <w:pPr>
        <w:pStyle w:val="ListParagraph"/>
        <w:widowControl/>
        <w:numPr>
          <w:ilvl w:val="2"/>
          <w:numId w:val="1"/>
        </w:numPr>
        <w:spacing w:line="276" w:lineRule="auto"/>
        <w:ind w:left="851" w:hanging="425"/>
        <w:rPr>
          <w:rFonts w:eastAsia="Times New Roman" w:cs="Arial"/>
          <w:lang w:val="en-AU" w:eastAsia="en-AU"/>
        </w:rPr>
      </w:pPr>
      <w:proofErr w:type="gramStart"/>
      <w:r>
        <w:rPr>
          <w:rFonts w:eastAsia="Times New Roman" w:cs="Arial"/>
          <w:lang w:val="en-AU" w:eastAsia="en-AU"/>
        </w:rPr>
        <w:t>s</w:t>
      </w:r>
      <w:r w:rsidR="00696E87" w:rsidRPr="00C370A2">
        <w:rPr>
          <w:rFonts w:eastAsia="Times New Roman" w:cs="Arial"/>
          <w:lang w:val="en-AU" w:eastAsia="en-AU"/>
        </w:rPr>
        <w:t>p</w:t>
      </w:r>
      <w:r w:rsidR="00386D43" w:rsidRPr="00C370A2">
        <w:rPr>
          <w:rFonts w:eastAsia="Times New Roman" w:cs="Arial"/>
          <w:lang w:val="en-AU" w:eastAsia="en-AU"/>
        </w:rPr>
        <w:t>ace</w:t>
      </w:r>
      <w:proofErr w:type="gramEnd"/>
      <w:r w:rsidR="00386D43" w:rsidRPr="00C370A2">
        <w:rPr>
          <w:rFonts w:eastAsia="Times New Roman" w:cs="Arial"/>
          <w:lang w:val="en-AU" w:eastAsia="en-AU"/>
        </w:rPr>
        <w:t xml:space="preserve"> quality and utilisation.</w:t>
      </w:r>
    </w:p>
    <w:sectPr w:rsidR="002C2C95" w:rsidRPr="00C370A2" w:rsidSect="00C370A2">
      <w:headerReference w:type="default" r:id="rId7"/>
      <w:headerReference w:type="first" r:id="rId8"/>
      <w:pgSz w:w="11910" w:h="16840"/>
      <w:pgMar w:top="1380" w:right="1680" w:bottom="1040" w:left="1680" w:header="709" w:footer="8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85" w:rsidRDefault="00386D43">
      <w:r>
        <w:separator/>
      </w:r>
    </w:p>
  </w:endnote>
  <w:endnote w:type="continuationSeparator" w:id="0">
    <w:p w:rsidR="00202085" w:rsidRDefault="0038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85" w:rsidRDefault="00386D43">
      <w:r>
        <w:separator/>
      </w:r>
    </w:p>
  </w:footnote>
  <w:footnote w:type="continuationSeparator" w:id="0">
    <w:p w:rsidR="00202085" w:rsidRDefault="00386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EB" w:rsidRDefault="001471EB">
    <w:pPr>
      <w:pStyle w:val="Header"/>
    </w:pPr>
  </w:p>
  <w:p w:rsidR="001471EB" w:rsidRDefault="001471EB">
    <w:pPr>
      <w:pStyle w:val="Header"/>
    </w:pPr>
  </w:p>
  <w:p w:rsidR="001471EB" w:rsidRDefault="001471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EB" w:rsidRDefault="001471EB">
    <w:pPr>
      <w:pStyle w:val="Header"/>
    </w:pPr>
    <w:r>
      <w:rPr>
        <w:rFonts w:ascii="Arial" w:hAnsi="Arial" w:cs="Arial"/>
        <w:b/>
        <w:noProof/>
        <w:lang w:val="en-AU" w:eastAsia="en-AU"/>
      </w:rPr>
      <w:drawing>
        <wp:inline distT="0" distB="0" distL="0" distR="0" wp14:anchorId="583B7C3F" wp14:editId="7D1A6928">
          <wp:extent cx="1796568" cy="49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568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71EB" w:rsidRDefault="001471EB">
    <w:pPr>
      <w:pStyle w:val="Header"/>
    </w:pPr>
  </w:p>
  <w:p w:rsidR="001471EB" w:rsidRDefault="00147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61D7"/>
    <w:multiLevelType w:val="multilevel"/>
    <w:tmpl w:val="686089D2"/>
    <w:lvl w:ilvl="0">
      <w:start w:val="1"/>
      <w:numFmt w:val="decimal"/>
      <w:lvlText w:val="%1"/>
      <w:lvlJc w:val="left"/>
      <w:pPr>
        <w:ind w:left="602" w:hanging="48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602" w:hanging="483"/>
      </w:pPr>
      <w:rPr>
        <w:rFonts w:hint="default"/>
        <w:b/>
        <w:bCs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840" w:hanging="361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84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9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19" w:hanging="361"/>
      </w:pPr>
      <w:rPr>
        <w:rFonts w:hint="default"/>
      </w:rPr>
    </w:lvl>
  </w:abstractNum>
  <w:abstractNum w:abstractNumId="1" w15:restartNumberingAfterBreak="0">
    <w:nsid w:val="413A20DB"/>
    <w:multiLevelType w:val="hybridMultilevel"/>
    <w:tmpl w:val="5CE63D4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6C1199B"/>
    <w:multiLevelType w:val="hybridMultilevel"/>
    <w:tmpl w:val="08D669C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u w:color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95"/>
    <w:rsid w:val="00060280"/>
    <w:rsid w:val="000F26FB"/>
    <w:rsid w:val="00112FD9"/>
    <w:rsid w:val="001471EB"/>
    <w:rsid w:val="001A6C83"/>
    <w:rsid w:val="00202085"/>
    <w:rsid w:val="002C2C95"/>
    <w:rsid w:val="00366C22"/>
    <w:rsid w:val="0037359F"/>
    <w:rsid w:val="00386D43"/>
    <w:rsid w:val="0039781E"/>
    <w:rsid w:val="00497AAB"/>
    <w:rsid w:val="004D09EE"/>
    <w:rsid w:val="004D42AC"/>
    <w:rsid w:val="005A0811"/>
    <w:rsid w:val="005C20CB"/>
    <w:rsid w:val="00696E87"/>
    <w:rsid w:val="006A6133"/>
    <w:rsid w:val="006C232A"/>
    <w:rsid w:val="00780BAB"/>
    <w:rsid w:val="007E7F0B"/>
    <w:rsid w:val="00842362"/>
    <w:rsid w:val="00856139"/>
    <w:rsid w:val="008A73CC"/>
    <w:rsid w:val="0094363A"/>
    <w:rsid w:val="009871C5"/>
    <w:rsid w:val="009B551F"/>
    <w:rsid w:val="00A26294"/>
    <w:rsid w:val="00A87AB3"/>
    <w:rsid w:val="00B33D78"/>
    <w:rsid w:val="00B468D4"/>
    <w:rsid w:val="00BB22B1"/>
    <w:rsid w:val="00C370A2"/>
    <w:rsid w:val="00C66E46"/>
    <w:rsid w:val="00C7463A"/>
    <w:rsid w:val="00D0577E"/>
    <w:rsid w:val="00D134C4"/>
    <w:rsid w:val="00D43867"/>
    <w:rsid w:val="00D72EA6"/>
    <w:rsid w:val="00D815D5"/>
    <w:rsid w:val="00D92E76"/>
    <w:rsid w:val="00E7192C"/>
    <w:rsid w:val="00E77F1E"/>
    <w:rsid w:val="00F2378C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2AC50D3-26BA-4E91-AFB2-A9C4F93D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Heading1"/>
    <w:next w:val="Normal"/>
    <w:link w:val="Heading2Char"/>
    <w:unhideWhenUsed/>
    <w:qFormat/>
    <w:rsid w:val="00B33D78"/>
    <w:pPr>
      <w:keepNext/>
      <w:keepLines/>
      <w:widowControl/>
      <w:spacing w:before="200" w:after="60"/>
      <w:ind w:left="576" w:hanging="576"/>
      <w:outlineLvl w:val="1"/>
    </w:pPr>
    <w:rPr>
      <w:rFonts w:asciiTheme="majorHAnsi" w:eastAsiaTheme="majorEastAsia" w:hAnsiTheme="majorHAnsi" w:cs="Arial"/>
      <w:bCs w:val="0"/>
      <w:color w:val="404040" w:themeColor="text1" w:themeTint="BF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LTU-SendersPosition">
    <w:name w:val="LTU - Sender's Position"/>
    <w:aliases w:val="etc."/>
    <w:basedOn w:val="Normal"/>
    <w:qFormat/>
    <w:rsid w:val="00696E87"/>
    <w:pPr>
      <w:suppressAutoHyphens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0"/>
      <w:szCs w:val="20"/>
      <w:lang w:val="en-GB" w:eastAsia="en-AU"/>
    </w:rPr>
  </w:style>
  <w:style w:type="paragraph" w:styleId="Header">
    <w:name w:val="header"/>
    <w:basedOn w:val="Normal"/>
    <w:link w:val="HeaderChar"/>
    <w:unhideWhenUsed/>
    <w:rsid w:val="00386D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43"/>
  </w:style>
  <w:style w:type="paragraph" w:styleId="Footer">
    <w:name w:val="footer"/>
    <w:basedOn w:val="Normal"/>
    <w:link w:val="FooterChar"/>
    <w:uiPriority w:val="99"/>
    <w:unhideWhenUsed/>
    <w:rsid w:val="00386D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43"/>
  </w:style>
  <w:style w:type="paragraph" w:styleId="BalloonText">
    <w:name w:val="Balloon Text"/>
    <w:basedOn w:val="Normal"/>
    <w:link w:val="BalloonTextChar"/>
    <w:uiPriority w:val="99"/>
    <w:semiHidden/>
    <w:unhideWhenUsed/>
    <w:rsid w:val="00366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2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7E7F0B"/>
    <w:pPr>
      <w:framePr w:wrap="around" w:vAnchor="text" w:hAnchor="text" w:y="1"/>
      <w:widowControl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24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rsid w:val="007E7F0B"/>
    <w:rPr>
      <w:rFonts w:ascii="Arial" w:eastAsiaTheme="majorEastAsia" w:hAnsi="Arial" w:cstheme="majorBidi"/>
      <w:b/>
      <w:spacing w:val="5"/>
      <w:kern w:val="28"/>
      <w:sz w:val="24"/>
      <w:szCs w:val="52"/>
      <w:lang w:val="en-AU" w:eastAsia="en-AU"/>
    </w:rPr>
  </w:style>
  <w:style w:type="paragraph" w:customStyle="1" w:styleId="Bulletlist">
    <w:name w:val="Bullet list"/>
    <w:basedOn w:val="Normal"/>
    <w:rsid w:val="007E7F0B"/>
    <w:pPr>
      <w:widowControl/>
      <w:tabs>
        <w:tab w:val="num" w:pos="284"/>
      </w:tabs>
      <w:ind w:left="284" w:hanging="284"/>
    </w:pPr>
    <w:rPr>
      <w:rFonts w:eastAsia="Times New Roman" w:cs="Times New Roman"/>
      <w:szCs w:val="24"/>
      <w:lang w:val="en-AU"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E7F0B"/>
  </w:style>
  <w:style w:type="character" w:customStyle="1" w:styleId="Heading2Char">
    <w:name w:val="Heading 2 Char"/>
    <w:basedOn w:val="DefaultParagraphFont"/>
    <w:link w:val="Heading2"/>
    <w:rsid w:val="00B33D78"/>
    <w:rPr>
      <w:rFonts w:asciiTheme="majorHAnsi" w:eastAsiaTheme="majorEastAsia" w:hAnsiTheme="majorHAnsi" w:cs="Arial"/>
      <w:b/>
      <w:color w:val="404040" w:themeColor="text1" w:themeTint="BF"/>
      <w:szCs w:val="2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Division Reviews - Standard Terms of Reference</vt:lpstr>
    </vt:vector>
  </TitlesOfParts>
  <Company>La Trobe University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Division Reviews - Standard Terms of Reference</dc:title>
  <dc:creator>scondon</dc:creator>
  <cp:lastModifiedBy>John McGuiness</cp:lastModifiedBy>
  <cp:revision>2</cp:revision>
  <cp:lastPrinted>2017-07-13T06:31:00Z</cp:lastPrinted>
  <dcterms:created xsi:type="dcterms:W3CDTF">2017-07-18T03:34:00Z</dcterms:created>
  <dcterms:modified xsi:type="dcterms:W3CDTF">2017-07-18T03:34:00Z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2016-08-10T00:00:00Z</vt:filetime>
  </property>
</Properties>
</file>