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D9" w:rsidRPr="00D87AD9" w:rsidRDefault="00D87AD9" w:rsidP="00032BD9">
      <w:pPr>
        <w:pStyle w:val="Title"/>
        <w:framePr w:wrap="around"/>
        <w:rPr>
          <w:rFonts w:asciiTheme="minorHAnsi" w:hAnsiTheme="minorHAnsi" w:cs="Arial"/>
          <w:szCs w:val="24"/>
        </w:rPr>
      </w:pPr>
      <w:bookmarkStart w:id="0" w:name="_GoBack"/>
      <w:bookmarkEnd w:id="0"/>
      <w:r>
        <w:rPr>
          <w:rFonts w:asciiTheme="minorHAnsi" w:hAnsiTheme="minorHAnsi" w:cs="Arial"/>
          <w:caps/>
          <w:szCs w:val="24"/>
        </w:rPr>
        <w:t>T</w:t>
      </w:r>
      <w:r w:rsidR="00032BD9" w:rsidRPr="00D87AD9">
        <w:rPr>
          <w:rFonts w:asciiTheme="minorHAnsi" w:hAnsiTheme="minorHAnsi" w:cs="Arial"/>
          <w:szCs w:val="24"/>
        </w:rPr>
        <w:t xml:space="preserve">ERMS OF REFERENCE FOR REVIEW </w:t>
      </w:r>
    </w:p>
    <w:p w:rsidR="00032BD9" w:rsidRPr="00D87AD9" w:rsidRDefault="00032BD9" w:rsidP="00032BD9">
      <w:pPr>
        <w:pStyle w:val="Title"/>
        <w:framePr w:wrap="around"/>
        <w:rPr>
          <w:rFonts w:asciiTheme="minorHAnsi" w:hAnsiTheme="minorHAnsi" w:cs="Arial"/>
          <w:szCs w:val="24"/>
        </w:rPr>
      </w:pPr>
      <w:r w:rsidRPr="00D87AD9">
        <w:rPr>
          <w:rFonts w:asciiTheme="minorHAnsi" w:hAnsiTheme="minorHAnsi" w:cs="Arial"/>
          <w:szCs w:val="24"/>
        </w:rPr>
        <w:t xml:space="preserve">OF SCHOOL OF </w:t>
      </w:r>
      <w:r w:rsidR="00F86F9C">
        <w:rPr>
          <w:rFonts w:asciiTheme="minorHAnsi" w:hAnsiTheme="minorHAnsi" w:cs="Arial"/>
          <w:szCs w:val="24"/>
        </w:rPr>
        <w:t>[XX]</w:t>
      </w:r>
    </w:p>
    <w:p w:rsidR="00032BD9" w:rsidRPr="00D87AD9" w:rsidRDefault="00032BD9" w:rsidP="00A249AF">
      <w:pPr>
        <w:rPr>
          <w:rFonts w:cs="Arial"/>
          <w:b/>
          <w:szCs w:val="22"/>
        </w:rPr>
      </w:pPr>
      <w:r w:rsidRPr="00D87AD9">
        <w:rPr>
          <w:rFonts w:cs="Arial"/>
          <w:b/>
          <w:szCs w:val="22"/>
        </w:rPr>
        <w:t>Purpose</w:t>
      </w:r>
    </w:p>
    <w:p w:rsidR="00D87AD9" w:rsidRPr="00157C30" w:rsidRDefault="00D87AD9" w:rsidP="00DD4022">
      <w:pPr>
        <w:pStyle w:val="Bulletlist"/>
        <w:numPr>
          <w:ilvl w:val="0"/>
          <w:numId w:val="0"/>
        </w:numPr>
        <w:tabs>
          <w:tab w:val="left" w:pos="5940"/>
        </w:tabs>
        <w:spacing w:before="240"/>
        <w:rPr>
          <w:rFonts w:cs="Arial"/>
          <w:szCs w:val="22"/>
        </w:rPr>
      </w:pPr>
      <w:r w:rsidRPr="00157C30">
        <w:rPr>
          <w:rFonts w:cs="Arial"/>
          <w:szCs w:val="22"/>
        </w:rPr>
        <w:t xml:space="preserve">A review provides an evidence-based assessment of the performance of a </w:t>
      </w:r>
      <w:r>
        <w:rPr>
          <w:rFonts w:cs="Arial"/>
          <w:szCs w:val="22"/>
        </w:rPr>
        <w:t>School</w:t>
      </w:r>
      <w:r w:rsidRPr="00157C30">
        <w:rPr>
          <w:rFonts w:cs="Arial"/>
          <w:szCs w:val="22"/>
        </w:rPr>
        <w:t xml:space="preserve"> and its contributions to the strategic objectives of </w:t>
      </w:r>
      <w:r>
        <w:rPr>
          <w:rFonts w:cs="Arial"/>
          <w:szCs w:val="22"/>
        </w:rPr>
        <w:t xml:space="preserve">the College and </w:t>
      </w:r>
      <w:r w:rsidRPr="00157C30">
        <w:rPr>
          <w:rFonts w:cs="Arial"/>
          <w:szCs w:val="22"/>
        </w:rPr>
        <w:t xml:space="preserve">University, including an assessment of performance relative to comparable </w:t>
      </w:r>
      <w:r>
        <w:rPr>
          <w:rFonts w:cs="Arial"/>
          <w:szCs w:val="22"/>
        </w:rPr>
        <w:t>entities</w:t>
      </w:r>
      <w:r w:rsidRPr="00157C30">
        <w:rPr>
          <w:rFonts w:cs="Arial"/>
          <w:szCs w:val="22"/>
        </w:rPr>
        <w:t xml:space="preserve"> nationally and over time. Reviews also consider the effectiveness of the internal management and operations of the </w:t>
      </w:r>
      <w:r>
        <w:rPr>
          <w:rFonts w:cs="Arial"/>
          <w:szCs w:val="22"/>
        </w:rPr>
        <w:t>School</w:t>
      </w:r>
      <w:r w:rsidRPr="00157C30">
        <w:rPr>
          <w:rFonts w:cs="Arial"/>
          <w:szCs w:val="22"/>
        </w:rPr>
        <w:t>.</w:t>
      </w:r>
    </w:p>
    <w:p w:rsidR="00032BD9" w:rsidRPr="00D87AD9" w:rsidRDefault="00032BD9" w:rsidP="00DD4022">
      <w:pPr>
        <w:pStyle w:val="Bulletlist"/>
        <w:numPr>
          <w:ilvl w:val="0"/>
          <w:numId w:val="0"/>
        </w:numPr>
        <w:tabs>
          <w:tab w:val="left" w:pos="5940"/>
        </w:tabs>
        <w:spacing w:before="120"/>
        <w:rPr>
          <w:rFonts w:cs="Arial"/>
          <w:color w:val="000000"/>
          <w:szCs w:val="22"/>
        </w:rPr>
      </w:pPr>
      <w:r w:rsidRPr="00D87AD9">
        <w:rPr>
          <w:rFonts w:cs="Arial"/>
          <w:szCs w:val="22"/>
        </w:rPr>
        <w:t>This document should be read in conjunction with the School Review Policy and Procedures.</w:t>
      </w:r>
    </w:p>
    <w:p w:rsidR="00DD4022" w:rsidRDefault="00032BD9" w:rsidP="00DD4022">
      <w:pPr>
        <w:spacing w:before="240"/>
        <w:rPr>
          <w:rFonts w:cs="Arial"/>
          <w:b/>
          <w:szCs w:val="22"/>
        </w:rPr>
      </w:pPr>
      <w:r w:rsidRPr="00D87AD9">
        <w:rPr>
          <w:rFonts w:cs="Arial"/>
          <w:b/>
          <w:szCs w:val="22"/>
        </w:rPr>
        <w:t xml:space="preserve">Terms of Reference </w:t>
      </w:r>
    </w:p>
    <w:p w:rsidR="00032BD9" w:rsidRDefault="00032BD9" w:rsidP="00DD4022">
      <w:pPr>
        <w:spacing w:before="240"/>
        <w:rPr>
          <w:rFonts w:cs="Arial"/>
          <w:szCs w:val="22"/>
        </w:rPr>
      </w:pPr>
      <w:r w:rsidRPr="00D87AD9">
        <w:rPr>
          <w:rFonts w:cs="Arial"/>
          <w:szCs w:val="22"/>
        </w:rPr>
        <w:t xml:space="preserve">For the review of </w:t>
      </w:r>
      <w:r w:rsidR="00D87AD9">
        <w:rPr>
          <w:rFonts w:cs="Arial"/>
          <w:szCs w:val="22"/>
        </w:rPr>
        <w:t xml:space="preserve">the School of </w:t>
      </w:r>
      <w:r w:rsidR="00F86F9C">
        <w:rPr>
          <w:rFonts w:cs="Arial"/>
          <w:szCs w:val="22"/>
        </w:rPr>
        <w:t>[xx]</w:t>
      </w:r>
      <w:r w:rsidRPr="00D87AD9">
        <w:rPr>
          <w:rFonts w:cs="Arial"/>
          <w:szCs w:val="22"/>
        </w:rPr>
        <w:t>, the Vice-Chancellor has identified the following specific terms of reference or focus areas, in addition to the generic Terms of Reference:</w:t>
      </w:r>
    </w:p>
    <w:p w:rsidR="00F86F9C" w:rsidRPr="00F86F9C" w:rsidRDefault="00F86F9C" w:rsidP="00F86F9C">
      <w:pPr>
        <w:pStyle w:val="ListParagraph"/>
        <w:numPr>
          <w:ilvl w:val="0"/>
          <w:numId w:val="36"/>
        </w:numPr>
        <w:ind w:left="714" w:hanging="357"/>
        <w:rPr>
          <w:rFonts w:cs="Arial"/>
          <w:szCs w:val="22"/>
        </w:rPr>
      </w:pPr>
    </w:p>
    <w:p w:rsidR="00032BD9" w:rsidRPr="00D87AD9" w:rsidRDefault="00032BD9" w:rsidP="005102EF">
      <w:pPr>
        <w:spacing w:before="240"/>
        <w:rPr>
          <w:rFonts w:cs="Arial"/>
          <w:b/>
          <w:sz w:val="24"/>
        </w:rPr>
      </w:pPr>
      <w:r w:rsidRPr="00D87AD9">
        <w:rPr>
          <w:rFonts w:cs="Arial"/>
          <w:b/>
          <w:sz w:val="24"/>
        </w:rPr>
        <w:t>Generic Terms of Reference</w:t>
      </w:r>
    </w:p>
    <w:p w:rsidR="00BF1394" w:rsidRPr="00BF1394" w:rsidRDefault="00BF1394" w:rsidP="005102EF">
      <w:pPr>
        <w:pStyle w:val="ListParagraph"/>
        <w:numPr>
          <w:ilvl w:val="0"/>
          <w:numId w:val="17"/>
        </w:numPr>
        <w:spacing w:before="240"/>
        <w:ind w:left="567" w:hanging="499"/>
        <w:rPr>
          <w:rFonts w:cstheme="minorHAnsi"/>
          <w:b/>
          <w:i/>
          <w:szCs w:val="22"/>
        </w:rPr>
      </w:pPr>
      <w:r w:rsidRPr="00BF1394">
        <w:rPr>
          <w:rFonts w:cstheme="minorHAnsi"/>
          <w:b/>
          <w:i/>
          <w:szCs w:val="22"/>
        </w:rPr>
        <w:t>School Management</w:t>
      </w:r>
    </w:p>
    <w:p w:rsidR="00BF1394" w:rsidRPr="00BF1394" w:rsidRDefault="00BF1394" w:rsidP="005102EF">
      <w:pPr>
        <w:tabs>
          <w:tab w:val="left" w:pos="567"/>
        </w:tabs>
        <w:spacing w:before="240"/>
        <w:rPr>
          <w:rFonts w:eastAsiaTheme="majorEastAsia" w:cs="Arial"/>
          <w:b/>
          <w:color w:val="404040" w:themeColor="text1" w:themeTint="BF"/>
          <w:szCs w:val="26"/>
        </w:rPr>
      </w:pPr>
      <w:r w:rsidRPr="00BF1394">
        <w:rPr>
          <w:rFonts w:eastAsiaTheme="majorEastAsia" w:cs="Arial"/>
          <w:b/>
          <w:color w:val="404040" w:themeColor="text1" w:themeTint="BF"/>
          <w:szCs w:val="26"/>
        </w:rPr>
        <w:t>1.1</w:t>
      </w:r>
      <w:r w:rsidRPr="00BF1394">
        <w:rPr>
          <w:rFonts w:eastAsiaTheme="majorEastAsia" w:cs="Arial"/>
          <w:b/>
          <w:color w:val="404040" w:themeColor="text1" w:themeTint="BF"/>
          <w:szCs w:val="26"/>
        </w:rPr>
        <w:tab/>
        <w:t>Management and Planning</w:t>
      </w:r>
    </w:p>
    <w:p w:rsidR="00032BD9" w:rsidRPr="00D87AD9" w:rsidRDefault="00032BD9" w:rsidP="005102EF">
      <w:pPr>
        <w:spacing w:before="120" w:line="276" w:lineRule="auto"/>
        <w:rPr>
          <w:rFonts w:cs="Arial"/>
          <w:szCs w:val="22"/>
        </w:rPr>
      </w:pPr>
      <w:r w:rsidRPr="00D87AD9">
        <w:rPr>
          <w:rFonts w:cs="Arial"/>
          <w:szCs w:val="22"/>
          <w:lang w:val="en"/>
        </w:rPr>
        <w:t xml:space="preserve">The Panel should consider </w:t>
      </w:r>
      <w:r w:rsidRPr="00D87AD9">
        <w:rPr>
          <w:rFonts w:cs="Arial"/>
          <w:szCs w:val="22"/>
        </w:rPr>
        <w:t>the effectiveness of the management of the School including:</w:t>
      </w:r>
    </w:p>
    <w:p w:rsidR="00032BD9" w:rsidRPr="00D87AD9" w:rsidRDefault="00032BD9" w:rsidP="00A249AF">
      <w:pPr>
        <w:pStyle w:val="ListParagraph"/>
        <w:numPr>
          <w:ilvl w:val="0"/>
          <w:numId w:val="10"/>
        </w:numPr>
        <w:spacing w:line="276" w:lineRule="auto"/>
        <w:ind w:left="851" w:hanging="425"/>
        <w:contextualSpacing w:val="0"/>
        <w:rPr>
          <w:rFonts w:cs="Arial"/>
          <w:szCs w:val="22"/>
        </w:rPr>
      </w:pPr>
      <w:r w:rsidRPr="00D87AD9">
        <w:rPr>
          <w:rFonts w:cs="Arial"/>
          <w:szCs w:val="22"/>
        </w:rPr>
        <w:t>leadership, planning and administration within the School;</w:t>
      </w:r>
    </w:p>
    <w:p w:rsidR="00BB436D" w:rsidRDefault="00BB436D" w:rsidP="00A249AF">
      <w:pPr>
        <w:pStyle w:val="ListParagraph"/>
        <w:spacing w:line="276" w:lineRule="auto"/>
        <w:ind w:left="851" w:hanging="425"/>
        <w:contextualSpacing w:val="0"/>
        <w:rPr>
          <w:rFonts w:cs="Arial"/>
          <w:szCs w:val="22"/>
        </w:rPr>
      </w:pPr>
      <w:r>
        <w:rPr>
          <w:rFonts w:cs="Arial"/>
          <w:szCs w:val="22"/>
        </w:rPr>
        <w:t>extent to which the School’s business plan is appropriately aligned to the College and University objectives;</w:t>
      </w:r>
    </w:p>
    <w:p w:rsidR="00032BD9" w:rsidRPr="00D87AD9" w:rsidRDefault="00032BD9" w:rsidP="00A249AF">
      <w:pPr>
        <w:pStyle w:val="ListParagraph"/>
        <w:spacing w:line="276" w:lineRule="auto"/>
        <w:ind w:left="851" w:hanging="425"/>
        <w:contextualSpacing w:val="0"/>
        <w:rPr>
          <w:rFonts w:cs="Arial"/>
          <w:szCs w:val="22"/>
        </w:rPr>
      </w:pPr>
      <w:r w:rsidRPr="00D87AD9">
        <w:rPr>
          <w:rFonts w:cs="Arial"/>
          <w:szCs w:val="22"/>
        </w:rPr>
        <w:t>internal structure for management of academic and administrative functions;</w:t>
      </w:r>
    </w:p>
    <w:p w:rsidR="00032BD9" w:rsidRPr="00D87AD9" w:rsidRDefault="00032BD9" w:rsidP="00A249AF">
      <w:pPr>
        <w:pStyle w:val="ListParagraph"/>
        <w:spacing w:line="276" w:lineRule="auto"/>
        <w:ind w:left="851" w:hanging="425"/>
        <w:contextualSpacing w:val="0"/>
        <w:rPr>
          <w:rFonts w:cs="Arial"/>
          <w:szCs w:val="22"/>
        </w:rPr>
      </w:pPr>
      <w:r w:rsidRPr="00D87AD9">
        <w:rPr>
          <w:rFonts w:cs="Arial"/>
          <w:szCs w:val="22"/>
        </w:rPr>
        <w:t>effectiveness of operation across the campus network (where relevant);</w:t>
      </w:r>
    </w:p>
    <w:p w:rsidR="00032BD9" w:rsidRPr="00D87AD9" w:rsidRDefault="00032BD9" w:rsidP="00A249AF">
      <w:pPr>
        <w:pStyle w:val="ListParagraph"/>
        <w:spacing w:line="276" w:lineRule="auto"/>
        <w:ind w:left="851" w:hanging="425"/>
        <w:contextualSpacing w:val="0"/>
        <w:rPr>
          <w:rFonts w:cs="Arial"/>
          <w:szCs w:val="22"/>
        </w:rPr>
      </w:pPr>
      <w:r w:rsidRPr="00D87AD9">
        <w:rPr>
          <w:rFonts w:cs="Arial"/>
          <w:szCs w:val="22"/>
        </w:rPr>
        <w:t>School  relationship to other organisational units within the College and within the University; and</w:t>
      </w:r>
    </w:p>
    <w:p w:rsidR="00032BD9" w:rsidRPr="00D87AD9" w:rsidRDefault="00032BD9" w:rsidP="00A249AF">
      <w:pPr>
        <w:pStyle w:val="ListParagraph"/>
        <w:spacing w:line="276" w:lineRule="auto"/>
        <w:ind w:left="851" w:hanging="425"/>
        <w:contextualSpacing w:val="0"/>
        <w:rPr>
          <w:rFonts w:cs="Arial"/>
          <w:szCs w:val="22"/>
        </w:rPr>
      </w:pPr>
      <w:proofErr w:type="gramStart"/>
      <w:r w:rsidRPr="00D87AD9">
        <w:rPr>
          <w:rFonts w:cs="Arial"/>
        </w:rPr>
        <w:t>extent</w:t>
      </w:r>
      <w:proofErr w:type="gramEnd"/>
      <w:r w:rsidRPr="00D87AD9">
        <w:rPr>
          <w:rFonts w:cs="Arial"/>
        </w:rPr>
        <w:t xml:space="preserve"> to which sustainability principles are embedded within planning and operations throughout the School.</w:t>
      </w:r>
    </w:p>
    <w:p w:rsidR="00BF1394" w:rsidRDefault="00BF1394" w:rsidP="005102EF">
      <w:pPr>
        <w:pStyle w:val="ListParagraph"/>
        <w:numPr>
          <w:ilvl w:val="0"/>
          <w:numId w:val="0"/>
        </w:numPr>
        <w:spacing w:before="240" w:line="276" w:lineRule="auto"/>
        <w:ind w:left="567" w:hanging="567"/>
        <w:contextualSpacing w:val="0"/>
        <w:rPr>
          <w:rFonts w:cs="Arial"/>
          <w:szCs w:val="22"/>
        </w:rPr>
      </w:pPr>
      <w:r w:rsidRPr="00BF1394">
        <w:rPr>
          <w:rFonts w:eastAsiaTheme="majorEastAsia" w:cs="Arial"/>
          <w:b/>
          <w:color w:val="404040" w:themeColor="text1" w:themeTint="BF"/>
          <w:szCs w:val="26"/>
        </w:rPr>
        <w:t>1.2</w:t>
      </w:r>
      <w:r w:rsidRPr="00BF1394">
        <w:rPr>
          <w:rFonts w:eastAsiaTheme="majorEastAsia" w:cs="Arial"/>
          <w:b/>
          <w:color w:val="404040" w:themeColor="text1" w:themeTint="BF"/>
          <w:szCs w:val="26"/>
        </w:rPr>
        <w:tab/>
        <w:t>Commitment to Continuous Improvement</w:t>
      </w:r>
    </w:p>
    <w:p w:rsidR="00032BD9" w:rsidRPr="00D87AD9" w:rsidRDefault="00032BD9" w:rsidP="005102EF">
      <w:pPr>
        <w:spacing w:before="120" w:line="276" w:lineRule="auto"/>
        <w:rPr>
          <w:rFonts w:cs="Arial"/>
          <w:szCs w:val="22"/>
        </w:rPr>
      </w:pPr>
      <w:r w:rsidRPr="00D87AD9">
        <w:rPr>
          <w:rFonts w:cs="Arial"/>
          <w:szCs w:val="22"/>
          <w:lang w:val="en"/>
        </w:rPr>
        <w:t xml:space="preserve">The Panel should consider </w:t>
      </w:r>
      <w:r w:rsidRPr="00D87AD9">
        <w:rPr>
          <w:rFonts w:cs="Arial"/>
          <w:szCs w:val="22"/>
        </w:rPr>
        <w:t>the effectiveness of practices for quality assurance and improvement across all areas of operation, including:</w:t>
      </w:r>
    </w:p>
    <w:p w:rsidR="00032BD9" w:rsidRPr="00D87AD9" w:rsidRDefault="00032BD9" w:rsidP="00A249AF">
      <w:pPr>
        <w:pStyle w:val="ListParagraph"/>
        <w:numPr>
          <w:ilvl w:val="0"/>
          <w:numId w:val="3"/>
        </w:numPr>
        <w:spacing w:line="276" w:lineRule="auto"/>
        <w:ind w:left="851" w:hanging="426"/>
        <w:contextualSpacing w:val="0"/>
        <w:rPr>
          <w:rFonts w:cs="Arial"/>
          <w:szCs w:val="22"/>
        </w:rPr>
      </w:pPr>
      <w:r w:rsidRPr="00D87AD9">
        <w:rPr>
          <w:rFonts w:cs="Arial"/>
          <w:szCs w:val="22"/>
        </w:rPr>
        <w:t>the collection and analysis of relevant comparative data and student/stakeholder feedback; and</w:t>
      </w:r>
    </w:p>
    <w:p w:rsidR="00032BD9" w:rsidRPr="00D87AD9" w:rsidRDefault="00032BD9" w:rsidP="00A249AF">
      <w:pPr>
        <w:pStyle w:val="ListParagraph"/>
        <w:spacing w:line="276" w:lineRule="auto"/>
        <w:ind w:left="851" w:hanging="426"/>
        <w:contextualSpacing w:val="0"/>
        <w:rPr>
          <w:rFonts w:cs="Arial"/>
          <w:szCs w:val="22"/>
        </w:rPr>
      </w:pPr>
      <w:proofErr w:type="gramStart"/>
      <w:r w:rsidRPr="00D87AD9">
        <w:rPr>
          <w:rFonts w:cs="Arial"/>
          <w:szCs w:val="22"/>
        </w:rPr>
        <w:t>the</w:t>
      </w:r>
      <w:proofErr w:type="gramEnd"/>
      <w:r w:rsidRPr="00D87AD9">
        <w:rPr>
          <w:rFonts w:cs="Arial"/>
          <w:szCs w:val="22"/>
        </w:rPr>
        <w:t xml:space="preserve"> systems and processes to use this data to implement systemic improvements. </w:t>
      </w:r>
    </w:p>
    <w:p w:rsidR="00BF1394" w:rsidRDefault="00BF1394">
      <w:pPr>
        <w:spacing w:after="160" w:line="259" w:lineRule="auto"/>
        <w:rPr>
          <w:rFonts w:cs="Arial"/>
          <w:szCs w:val="22"/>
        </w:rPr>
      </w:pPr>
      <w:r>
        <w:rPr>
          <w:rFonts w:cs="Arial"/>
          <w:szCs w:val="22"/>
        </w:rPr>
        <w:br w:type="page"/>
      </w:r>
    </w:p>
    <w:p w:rsidR="00BF1394" w:rsidRPr="00BF1394" w:rsidRDefault="00BF1394" w:rsidP="00BF1394">
      <w:pPr>
        <w:pStyle w:val="ListParagraph"/>
        <w:numPr>
          <w:ilvl w:val="0"/>
          <w:numId w:val="0"/>
        </w:numPr>
        <w:spacing w:line="276" w:lineRule="auto"/>
        <w:ind w:left="567" w:hanging="567"/>
        <w:contextualSpacing w:val="0"/>
        <w:rPr>
          <w:rFonts w:eastAsiaTheme="majorEastAsia" w:cs="Arial"/>
          <w:b/>
          <w:color w:val="404040" w:themeColor="text1" w:themeTint="BF"/>
          <w:szCs w:val="26"/>
        </w:rPr>
      </w:pPr>
      <w:r w:rsidRPr="00BF1394">
        <w:rPr>
          <w:rFonts w:eastAsiaTheme="majorEastAsia" w:cs="Arial"/>
          <w:b/>
          <w:color w:val="404040" w:themeColor="text1" w:themeTint="BF"/>
          <w:szCs w:val="26"/>
        </w:rPr>
        <w:lastRenderedPageBreak/>
        <w:t>1.3</w:t>
      </w:r>
      <w:r w:rsidRPr="00BF1394">
        <w:rPr>
          <w:rFonts w:eastAsiaTheme="majorEastAsia" w:cs="Arial"/>
          <w:b/>
          <w:color w:val="404040" w:themeColor="text1" w:themeTint="BF"/>
          <w:szCs w:val="26"/>
        </w:rPr>
        <w:tab/>
        <w:t>Human Resource Management</w:t>
      </w:r>
    </w:p>
    <w:p w:rsidR="00BF1394" w:rsidRDefault="00BF1394" w:rsidP="003A5E00">
      <w:pPr>
        <w:spacing w:before="120" w:line="276" w:lineRule="auto"/>
        <w:rPr>
          <w:rFonts w:cs="Arial"/>
          <w:szCs w:val="22"/>
        </w:rPr>
      </w:pPr>
      <w:r>
        <w:rPr>
          <w:rFonts w:cs="Arial"/>
          <w:szCs w:val="22"/>
        </w:rPr>
        <w:t>The Panel should consider the effective management of the School’s human resources, including</w:t>
      </w:r>
      <w:r w:rsidR="00F6731E">
        <w:rPr>
          <w:rFonts w:cs="Arial"/>
          <w:szCs w:val="22"/>
        </w:rPr>
        <w:t>:</w:t>
      </w:r>
    </w:p>
    <w:p w:rsidR="00BF1394" w:rsidRPr="00BF1394" w:rsidRDefault="00BF1394" w:rsidP="00BF1394">
      <w:pPr>
        <w:pStyle w:val="ListParagraph"/>
        <w:numPr>
          <w:ilvl w:val="0"/>
          <w:numId w:val="19"/>
        </w:numPr>
        <w:spacing w:line="276" w:lineRule="auto"/>
        <w:ind w:left="709" w:hanging="425"/>
        <w:contextualSpacing w:val="0"/>
        <w:rPr>
          <w:rFonts w:cs="Arial"/>
          <w:szCs w:val="22"/>
        </w:rPr>
      </w:pPr>
      <w:r w:rsidRPr="00BF1394">
        <w:rPr>
          <w:rFonts w:cs="Arial"/>
          <w:szCs w:val="22"/>
        </w:rPr>
        <w:t>workforce and succession planning;</w:t>
      </w:r>
    </w:p>
    <w:p w:rsidR="00BF1394" w:rsidRPr="00D87AD9" w:rsidRDefault="00BF1394" w:rsidP="00BF1394">
      <w:pPr>
        <w:pStyle w:val="ListParagraph"/>
        <w:spacing w:line="276" w:lineRule="auto"/>
        <w:ind w:left="709" w:hanging="425"/>
        <w:contextualSpacing w:val="0"/>
        <w:rPr>
          <w:rFonts w:cs="Arial"/>
          <w:szCs w:val="22"/>
        </w:rPr>
      </w:pPr>
      <w:r w:rsidRPr="00D87AD9">
        <w:rPr>
          <w:rFonts w:cs="Arial"/>
          <w:szCs w:val="22"/>
        </w:rPr>
        <w:t>leadership capability building;</w:t>
      </w:r>
    </w:p>
    <w:p w:rsidR="00BF1394" w:rsidRPr="00D87AD9" w:rsidRDefault="00BF1394" w:rsidP="00BF1394">
      <w:pPr>
        <w:pStyle w:val="ListParagraph"/>
        <w:spacing w:line="276" w:lineRule="auto"/>
        <w:ind w:left="709" w:hanging="425"/>
        <w:contextualSpacing w:val="0"/>
        <w:rPr>
          <w:rFonts w:cs="Arial"/>
          <w:szCs w:val="22"/>
        </w:rPr>
      </w:pPr>
      <w:r w:rsidRPr="00D87AD9">
        <w:rPr>
          <w:rFonts w:cs="Arial"/>
          <w:szCs w:val="22"/>
        </w:rPr>
        <w:t>training and professional development of academic and professional staff;</w:t>
      </w:r>
    </w:p>
    <w:p w:rsidR="00BF1394" w:rsidRDefault="00BF1394" w:rsidP="00BF1394">
      <w:pPr>
        <w:pStyle w:val="ListParagraph"/>
        <w:spacing w:line="276" w:lineRule="auto"/>
        <w:ind w:left="709" w:hanging="425"/>
        <w:contextualSpacing w:val="0"/>
        <w:rPr>
          <w:rFonts w:cs="Arial"/>
          <w:szCs w:val="22"/>
        </w:rPr>
      </w:pPr>
      <w:r>
        <w:rPr>
          <w:rFonts w:cs="Arial"/>
          <w:szCs w:val="22"/>
        </w:rPr>
        <w:t>s</w:t>
      </w:r>
      <w:r w:rsidRPr="00D87AD9">
        <w:rPr>
          <w:rFonts w:cs="Arial"/>
          <w:szCs w:val="22"/>
        </w:rPr>
        <w:t>chool communication, consultation and decision-making mechanisms; and</w:t>
      </w:r>
    </w:p>
    <w:p w:rsidR="00BF1394" w:rsidRPr="00BF1394" w:rsidRDefault="00BF1394" w:rsidP="00BF1394">
      <w:pPr>
        <w:pStyle w:val="ListParagraph"/>
        <w:spacing w:line="276" w:lineRule="auto"/>
        <w:ind w:left="709" w:hanging="425"/>
        <w:contextualSpacing w:val="0"/>
        <w:rPr>
          <w:rFonts w:cs="Arial"/>
          <w:szCs w:val="22"/>
        </w:rPr>
      </w:pPr>
      <w:proofErr w:type="gramStart"/>
      <w:r w:rsidRPr="00BF1394">
        <w:rPr>
          <w:rFonts w:cs="Arial"/>
          <w:szCs w:val="22"/>
        </w:rPr>
        <w:t>management</w:t>
      </w:r>
      <w:proofErr w:type="gramEnd"/>
      <w:r w:rsidRPr="00BF1394">
        <w:rPr>
          <w:rFonts w:cs="Arial"/>
          <w:szCs w:val="22"/>
        </w:rPr>
        <w:t xml:space="preserve"> of occupational health and safety</w:t>
      </w:r>
      <w:r w:rsidR="00F6731E">
        <w:rPr>
          <w:rFonts w:cs="Arial"/>
          <w:szCs w:val="22"/>
        </w:rPr>
        <w:t>.</w:t>
      </w:r>
    </w:p>
    <w:p w:rsidR="00BF1394" w:rsidRPr="00BF1394" w:rsidRDefault="00BF1394" w:rsidP="00DD4022">
      <w:pPr>
        <w:pStyle w:val="ListParagraph"/>
        <w:numPr>
          <w:ilvl w:val="0"/>
          <w:numId w:val="0"/>
        </w:numPr>
        <w:spacing w:before="240" w:line="276" w:lineRule="auto"/>
        <w:ind w:left="567" w:hanging="567"/>
        <w:contextualSpacing w:val="0"/>
        <w:rPr>
          <w:rFonts w:eastAsiaTheme="majorEastAsia" w:cs="Arial"/>
          <w:b/>
          <w:color w:val="404040" w:themeColor="text1" w:themeTint="BF"/>
          <w:szCs w:val="26"/>
        </w:rPr>
      </w:pPr>
      <w:r w:rsidRPr="00BF1394">
        <w:rPr>
          <w:rFonts w:eastAsiaTheme="majorEastAsia" w:cs="Arial"/>
          <w:b/>
          <w:color w:val="404040" w:themeColor="text1" w:themeTint="BF"/>
          <w:szCs w:val="26"/>
        </w:rPr>
        <w:t>1.4</w:t>
      </w:r>
      <w:r w:rsidRPr="00BF1394">
        <w:rPr>
          <w:rFonts w:eastAsiaTheme="majorEastAsia" w:cs="Arial"/>
          <w:b/>
          <w:color w:val="404040" w:themeColor="text1" w:themeTint="BF"/>
          <w:szCs w:val="26"/>
        </w:rPr>
        <w:tab/>
        <w:t>Resources</w:t>
      </w:r>
    </w:p>
    <w:p w:rsidR="00BF1394" w:rsidRDefault="00BF1394" w:rsidP="003A5E00">
      <w:pPr>
        <w:spacing w:before="120" w:line="276" w:lineRule="auto"/>
        <w:rPr>
          <w:rFonts w:cs="Arial"/>
          <w:szCs w:val="22"/>
        </w:rPr>
      </w:pPr>
      <w:r>
        <w:rPr>
          <w:rFonts w:cs="Arial"/>
          <w:szCs w:val="22"/>
        </w:rPr>
        <w:t xml:space="preserve">The Panel should consider </w:t>
      </w:r>
      <w:r w:rsidRPr="00D87AD9">
        <w:t>the effective management of the School’s financial and capital assets including:</w:t>
      </w:r>
    </w:p>
    <w:p w:rsidR="00BF1394" w:rsidRDefault="00BF1394" w:rsidP="00BF1394">
      <w:pPr>
        <w:pStyle w:val="ListParagraph"/>
        <w:numPr>
          <w:ilvl w:val="0"/>
          <w:numId w:val="21"/>
        </w:numPr>
        <w:spacing w:line="276" w:lineRule="auto"/>
        <w:rPr>
          <w:rFonts w:cs="Arial"/>
          <w:szCs w:val="22"/>
        </w:rPr>
      </w:pPr>
      <w:r>
        <w:rPr>
          <w:rFonts w:cs="Arial"/>
          <w:szCs w:val="22"/>
        </w:rPr>
        <w:t>trends in financial performance</w:t>
      </w:r>
      <w:r w:rsidR="00F63050">
        <w:rPr>
          <w:rFonts w:cs="Arial"/>
          <w:szCs w:val="22"/>
        </w:rPr>
        <w:t>;</w:t>
      </w:r>
    </w:p>
    <w:p w:rsidR="00BF1394" w:rsidRDefault="00BF1394" w:rsidP="00BF1394">
      <w:pPr>
        <w:pStyle w:val="ListParagraph"/>
        <w:numPr>
          <w:ilvl w:val="0"/>
          <w:numId w:val="21"/>
        </w:numPr>
        <w:spacing w:line="276" w:lineRule="auto"/>
        <w:rPr>
          <w:rFonts w:cs="Arial"/>
          <w:szCs w:val="22"/>
        </w:rPr>
      </w:pPr>
      <w:r>
        <w:rPr>
          <w:rFonts w:cs="Arial"/>
          <w:szCs w:val="22"/>
        </w:rPr>
        <w:t>generation of non-government income streams</w:t>
      </w:r>
      <w:r w:rsidR="00F63050">
        <w:rPr>
          <w:rFonts w:cs="Arial"/>
          <w:szCs w:val="22"/>
        </w:rPr>
        <w:t>;</w:t>
      </w:r>
    </w:p>
    <w:p w:rsidR="00B15A39" w:rsidRPr="00D87AD9" w:rsidRDefault="00B15A39" w:rsidP="00B15A39">
      <w:pPr>
        <w:numPr>
          <w:ilvl w:val="0"/>
          <w:numId w:val="21"/>
        </w:numPr>
        <w:spacing w:line="276" w:lineRule="auto"/>
        <w:rPr>
          <w:rFonts w:cs="Arial"/>
          <w:szCs w:val="22"/>
        </w:rPr>
      </w:pPr>
      <w:r w:rsidRPr="00D87AD9">
        <w:rPr>
          <w:rFonts w:cs="Arial"/>
          <w:szCs w:val="22"/>
        </w:rPr>
        <w:t>the adequacy of ICT infrastructure;</w:t>
      </w:r>
    </w:p>
    <w:p w:rsidR="00B15A39" w:rsidRPr="00D87AD9" w:rsidRDefault="00B15A39" w:rsidP="00B15A39">
      <w:pPr>
        <w:numPr>
          <w:ilvl w:val="0"/>
          <w:numId w:val="21"/>
        </w:numPr>
        <w:spacing w:line="276" w:lineRule="auto"/>
        <w:rPr>
          <w:rFonts w:cs="Arial"/>
          <w:szCs w:val="22"/>
        </w:rPr>
      </w:pPr>
      <w:r w:rsidRPr="00D87AD9">
        <w:rPr>
          <w:rFonts w:cs="Arial"/>
          <w:szCs w:val="22"/>
        </w:rPr>
        <w:t xml:space="preserve">asset management plans; </w:t>
      </w:r>
    </w:p>
    <w:p w:rsidR="00B15A39" w:rsidRPr="00B15A39" w:rsidRDefault="00B15A39" w:rsidP="00B15A39">
      <w:pPr>
        <w:numPr>
          <w:ilvl w:val="0"/>
          <w:numId w:val="21"/>
        </w:numPr>
        <w:spacing w:line="276" w:lineRule="auto"/>
        <w:rPr>
          <w:rFonts w:cs="Arial"/>
          <w:szCs w:val="22"/>
          <w:lang w:val="en"/>
        </w:rPr>
      </w:pPr>
      <w:r w:rsidRPr="00D87AD9">
        <w:rPr>
          <w:rFonts w:cs="Arial"/>
          <w:szCs w:val="22"/>
          <w:lang w:val="en"/>
        </w:rPr>
        <w:t xml:space="preserve">space quality and </w:t>
      </w:r>
      <w:r w:rsidRPr="00D87AD9">
        <w:rPr>
          <w:rFonts w:cs="Arial"/>
          <w:szCs w:val="22"/>
        </w:rPr>
        <w:t>utilisation; and</w:t>
      </w:r>
    </w:p>
    <w:p w:rsidR="00B15A39" w:rsidRPr="00D87AD9" w:rsidRDefault="00B15A39" w:rsidP="00B15A39">
      <w:pPr>
        <w:numPr>
          <w:ilvl w:val="0"/>
          <w:numId w:val="21"/>
        </w:numPr>
        <w:spacing w:line="276" w:lineRule="auto"/>
        <w:rPr>
          <w:rStyle w:val="Strong"/>
          <w:rFonts w:cs="Arial"/>
          <w:b w:val="0"/>
          <w:bCs w:val="0"/>
          <w:szCs w:val="22"/>
          <w:lang w:val="en"/>
        </w:rPr>
      </w:pPr>
      <w:proofErr w:type="gramStart"/>
      <w:r>
        <w:rPr>
          <w:rFonts w:cs="Arial"/>
          <w:szCs w:val="22"/>
        </w:rPr>
        <w:t>management</w:t>
      </w:r>
      <w:proofErr w:type="gramEnd"/>
      <w:r>
        <w:rPr>
          <w:rFonts w:cs="Arial"/>
          <w:szCs w:val="22"/>
        </w:rPr>
        <w:t xml:space="preserve"> of tangible assets.</w:t>
      </w:r>
    </w:p>
    <w:p w:rsidR="00B15A39" w:rsidRPr="00B15A39" w:rsidRDefault="00B15A39" w:rsidP="003A5E00">
      <w:pPr>
        <w:pStyle w:val="ListParagraph"/>
        <w:numPr>
          <w:ilvl w:val="0"/>
          <w:numId w:val="17"/>
        </w:numPr>
        <w:spacing w:before="240"/>
        <w:ind w:left="567" w:hanging="499"/>
        <w:rPr>
          <w:rFonts w:cstheme="minorHAnsi"/>
          <w:b/>
          <w:i/>
          <w:szCs w:val="22"/>
        </w:rPr>
      </w:pPr>
      <w:r w:rsidRPr="00B15A39">
        <w:rPr>
          <w:rFonts w:cstheme="minorHAnsi"/>
          <w:b/>
          <w:i/>
          <w:szCs w:val="22"/>
        </w:rPr>
        <w:t>Alignment with University Strategy</w:t>
      </w:r>
    </w:p>
    <w:p w:rsidR="00B15A39" w:rsidRPr="00B15A39" w:rsidRDefault="00B15A39" w:rsidP="003A5E00">
      <w:pPr>
        <w:pStyle w:val="ListParagraph"/>
        <w:numPr>
          <w:ilvl w:val="0"/>
          <w:numId w:val="0"/>
        </w:numPr>
        <w:spacing w:before="240" w:line="276" w:lineRule="auto"/>
        <w:ind w:left="567" w:hanging="567"/>
        <w:contextualSpacing w:val="0"/>
        <w:rPr>
          <w:rFonts w:eastAsiaTheme="majorEastAsia" w:cs="Arial"/>
          <w:b/>
          <w:color w:val="404040" w:themeColor="text1" w:themeTint="BF"/>
          <w:szCs w:val="26"/>
        </w:rPr>
      </w:pPr>
      <w:r w:rsidRPr="00B15A39">
        <w:rPr>
          <w:rFonts w:eastAsiaTheme="majorEastAsia" w:cs="Arial"/>
          <w:b/>
          <w:color w:val="404040" w:themeColor="text1" w:themeTint="BF"/>
          <w:szCs w:val="26"/>
        </w:rPr>
        <w:t>2.1</w:t>
      </w:r>
      <w:r w:rsidRPr="00B15A39">
        <w:rPr>
          <w:rFonts w:eastAsiaTheme="majorEastAsia" w:cs="Arial"/>
          <w:b/>
          <w:color w:val="404040" w:themeColor="text1" w:themeTint="BF"/>
          <w:szCs w:val="26"/>
        </w:rPr>
        <w:tab/>
        <w:t>Teaching and Learning</w:t>
      </w:r>
    </w:p>
    <w:p w:rsidR="00B15A39" w:rsidRPr="00B15A39" w:rsidRDefault="00B15A39" w:rsidP="003A5E00">
      <w:pPr>
        <w:pStyle w:val="ListParagraph"/>
        <w:numPr>
          <w:ilvl w:val="2"/>
          <w:numId w:val="17"/>
        </w:numPr>
        <w:spacing w:before="120" w:line="276" w:lineRule="auto"/>
        <w:ind w:left="709" w:hanging="709"/>
        <w:contextualSpacing w:val="0"/>
        <w:rPr>
          <w:rFonts w:cs="Arial"/>
          <w:szCs w:val="22"/>
        </w:rPr>
      </w:pPr>
      <w:r w:rsidRPr="00B15A39">
        <w:rPr>
          <w:rFonts w:cs="Arial"/>
          <w:szCs w:val="22"/>
        </w:rPr>
        <w:t>Course planning and the School’s coursework profile including:</w:t>
      </w:r>
    </w:p>
    <w:p w:rsidR="00B15A39" w:rsidRPr="00D87AD9" w:rsidRDefault="00B15A39" w:rsidP="00B15A39">
      <w:pPr>
        <w:pStyle w:val="ListParagraph"/>
        <w:numPr>
          <w:ilvl w:val="0"/>
          <w:numId w:val="4"/>
        </w:numPr>
        <w:ind w:left="709"/>
      </w:pPr>
      <w:r w:rsidRPr="00B15A39">
        <w:rPr>
          <w:lang w:val="en"/>
        </w:rPr>
        <w:t>for courses in professional areas, the professional accreditation status of courses</w:t>
      </w:r>
      <w:r w:rsidRPr="00D87AD9">
        <w:t xml:space="preserve"> and effectiveness of mechanisms for engagement with relevant accreditors;</w:t>
      </w:r>
    </w:p>
    <w:p w:rsidR="00B15A39" w:rsidRPr="00B15A39" w:rsidRDefault="00B15A39" w:rsidP="00B15A39">
      <w:pPr>
        <w:pStyle w:val="ListParagraph"/>
        <w:numPr>
          <w:ilvl w:val="0"/>
          <w:numId w:val="4"/>
        </w:numPr>
        <w:ind w:left="709"/>
        <w:rPr>
          <w:lang w:val="en"/>
        </w:rPr>
      </w:pPr>
      <w:r w:rsidRPr="00B15A39">
        <w:rPr>
          <w:lang w:val="en"/>
        </w:rPr>
        <w:t>performance of courses including trends in student load (all liability categories) against target, enrolments, student equity measures, student preferences, median ATAR and number of ATAR 80+, assessment of the School’s course profile in relation to University strengths and strategic direction, market demand and competitor behaviour;</w:t>
      </w:r>
    </w:p>
    <w:p w:rsidR="00032BD9" w:rsidRPr="00B15A39" w:rsidRDefault="00032BD9" w:rsidP="00B15A39">
      <w:pPr>
        <w:pStyle w:val="ListParagraph"/>
        <w:numPr>
          <w:ilvl w:val="0"/>
          <w:numId w:val="4"/>
        </w:numPr>
        <w:ind w:left="709"/>
        <w:rPr>
          <w:lang w:val="en"/>
        </w:rPr>
      </w:pPr>
      <w:r w:rsidRPr="00B15A39">
        <w:rPr>
          <w:lang w:val="en"/>
        </w:rPr>
        <w:t>effectiveness of mechanisms for seeking and utilising advice from external course advisory boards (including industry/profession, discipline and employer input);</w:t>
      </w:r>
    </w:p>
    <w:p w:rsidR="00032BD9" w:rsidRPr="00B15A39" w:rsidRDefault="00032BD9" w:rsidP="00B15A39">
      <w:pPr>
        <w:pStyle w:val="ListParagraph"/>
        <w:numPr>
          <w:ilvl w:val="0"/>
          <w:numId w:val="4"/>
        </w:numPr>
        <w:ind w:left="709"/>
        <w:rPr>
          <w:lang w:val="en"/>
        </w:rPr>
      </w:pPr>
      <w:r w:rsidRPr="00B15A39">
        <w:rPr>
          <w:lang w:val="en"/>
        </w:rPr>
        <w:t>vision for sub-bachelor, undergraduate, postgraduate coursework and non-award courses, including the mix of offerings across locations, by mode, and to various student cohorts (including domestic fee-paying and international students); and</w:t>
      </w:r>
    </w:p>
    <w:p w:rsidR="00032BD9" w:rsidRPr="00B15A39" w:rsidRDefault="00032BD9" w:rsidP="00B15A39">
      <w:pPr>
        <w:pStyle w:val="ListParagraph"/>
        <w:numPr>
          <w:ilvl w:val="0"/>
          <w:numId w:val="4"/>
        </w:numPr>
        <w:ind w:left="709"/>
        <w:rPr>
          <w:lang w:val="en"/>
        </w:rPr>
      </w:pPr>
      <w:proofErr w:type="gramStart"/>
      <w:r w:rsidRPr="00B15A39">
        <w:rPr>
          <w:lang w:val="en"/>
        </w:rPr>
        <w:t>understanding</w:t>
      </w:r>
      <w:proofErr w:type="gramEnd"/>
      <w:r w:rsidRPr="00B15A39">
        <w:rPr>
          <w:lang w:val="en"/>
        </w:rPr>
        <w:t xml:space="preserve"> of and responsiveness to current and changing trends in market demand across all cohorts.</w:t>
      </w:r>
    </w:p>
    <w:p w:rsidR="00032BD9" w:rsidRDefault="00032BD9" w:rsidP="00B15A39">
      <w:pPr>
        <w:pStyle w:val="ListParagraph"/>
        <w:numPr>
          <w:ilvl w:val="0"/>
          <w:numId w:val="0"/>
        </w:numPr>
        <w:spacing w:line="276" w:lineRule="auto"/>
        <w:contextualSpacing w:val="0"/>
        <w:rPr>
          <w:rFonts w:cstheme="minorHAnsi"/>
          <w:szCs w:val="22"/>
        </w:rPr>
      </w:pPr>
    </w:p>
    <w:p w:rsidR="003A5E00" w:rsidRDefault="003A5E00">
      <w:pPr>
        <w:spacing w:after="160" w:line="259" w:lineRule="auto"/>
        <w:rPr>
          <w:rFonts w:cstheme="minorHAnsi"/>
          <w:szCs w:val="22"/>
        </w:rPr>
      </w:pPr>
      <w:r>
        <w:rPr>
          <w:rFonts w:cstheme="minorHAnsi"/>
          <w:szCs w:val="22"/>
        </w:rPr>
        <w:br w:type="page"/>
      </w:r>
    </w:p>
    <w:p w:rsidR="00B15A39" w:rsidRDefault="00B15A39" w:rsidP="00DD4022">
      <w:pPr>
        <w:pStyle w:val="ListParagraph"/>
        <w:numPr>
          <w:ilvl w:val="0"/>
          <w:numId w:val="0"/>
        </w:numPr>
        <w:spacing w:before="120" w:line="276" w:lineRule="auto"/>
        <w:ind w:left="567" w:hanging="567"/>
        <w:contextualSpacing w:val="0"/>
        <w:rPr>
          <w:rStyle w:val="Style1Char"/>
          <w:rFonts w:eastAsiaTheme="majorEastAsia"/>
        </w:rPr>
      </w:pPr>
      <w:r>
        <w:rPr>
          <w:rFonts w:cstheme="minorHAnsi"/>
          <w:szCs w:val="22"/>
        </w:rPr>
        <w:lastRenderedPageBreak/>
        <w:t>2.1.2</w:t>
      </w:r>
      <w:r>
        <w:rPr>
          <w:rFonts w:cstheme="minorHAnsi"/>
          <w:szCs w:val="22"/>
        </w:rPr>
        <w:tab/>
        <w:t xml:space="preserve">The implementation </w:t>
      </w:r>
      <w:r w:rsidRPr="00D87AD9">
        <w:rPr>
          <w:rStyle w:val="Style1Char"/>
          <w:rFonts w:eastAsiaTheme="majorEastAsia"/>
        </w:rPr>
        <w:t>and embedding of the La Trobe Framework in the School including:</w:t>
      </w:r>
    </w:p>
    <w:p w:rsidR="00032BD9" w:rsidRPr="00B15A39" w:rsidRDefault="00032BD9" w:rsidP="00ED01FD">
      <w:pPr>
        <w:pStyle w:val="ListParagraph"/>
        <w:numPr>
          <w:ilvl w:val="0"/>
          <w:numId w:val="26"/>
        </w:numPr>
        <w:ind w:left="709"/>
        <w:rPr>
          <w:lang w:val="en"/>
        </w:rPr>
      </w:pPr>
      <w:r w:rsidRPr="00B15A39">
        <w:rPr>
          <w:lang w:val="en"/>
        </w:rPr>
        <w:t>contributions to the University’s Hallmark programs;</w:t>
      </w:r>
    </w:p>
    <w:p w:rsidR="00032BD9" w:rsidRPr="00B15A39" w:rsidRDefault="00032BD9" w:rsidP="00B15A39">
      <w:pPr>
        <w:pStyle w:val="ListParagraph"/>
        <w:numPr>
          <w:ilvl w:val="0"/>
          <w:numId w:val="4"/>
        </w:numPr>
        <w:ind w:left="709"/>
        <w:rPr>
          <w:lang w:val="en"/>
        </w:rPr>
      </w:pPr>
      <w:r w:rsidRPr="00B15A39">
        <w:rPr>
          <w:lang w:val="en"/>
        </w:rPr>
        <w:t>em</w:t>
      </w:r>
      <w:r w:rsidR="00F63050">
        <w:rPr>
          <w:lang w:val="en"/>
        </w:rPr>
        <w:t>bedding of La Trobe essentials;</w:t>
      </w:r>
    </w:p>
    <w:p w:rsidR="00032BD9" w:rsidRPr="00B15A39" w:rsidRDefault="00032BD9" w:rsidP="00B15A39">
      <w:pPr>
        <w:pStyle w:val="ListParagraph"/>
        <w:numPr>
          <w:ilvl w:val="0"/>
          <w:numId w:val="4"/>
        </w:numPr>
        <w:ind w:left="709"/>
        <w:rPr>
          <w:lang w:val="en"/>
        </w:rPr>
      </w:pPr>
      <w:r w:rsidRPr="00B15A39">
        <w:rPr>
          <w:lang w:val="en"/>
        </w:rPr>
        <w:t>learning enrichment activities, student en</w:t>
      </w:r>
      <w:r w:rsidR="00F63050">
        <w:rPr>
          <w:lang w:val="en"/>
        </w:rPr>
        <w:t>gagement, learning and success;</w:t>
      </w:r>
    </w:p>
    <w:p w:rsidR="00032BD9" w:rsidRPr="00B15A39" w:rsidRDefault="00032BD9" w:rsidP="00B15A39">
      <w:pPr>
        <w:pStyle w:val="ListParagraph"/>
        <w:numPr>
          <w:ilvl w:val="0"/>
          <w:numId w:val="4"/>
        </w:numPr>
        <w:ind w:left="709"/>
        <w:rPr>
          <w:lang w:val="en"/>
        </w:rPr>
      </w:pPr>
      <w:r w:rsidRPr="00B15A39">
        <w:rPr>
          <w:lang w:val="en"/>
        </w:rPr>
        <w:t>performance in blended and online delivery;</w:t>
      </w:r>
    </w:p>
    <w:p w:rsidR="00032BD9" w:rsidRPr="00B15A39" w:rsidRDefault="00032BD9" w:rsidP="00B15A39">
      <w:pPr>
        <w:pStyle w:val="ListParagraph"/>
        <w:numPr>
          <w:ilvl w:val="0"/>
          <w:numId w:val="4"/>
        </w:numPr>
        <w:ind w:left="709"/>
        <w:rPr>
          <w:lang w:val="en"/>
        </w:rPr>
      </w:pPr>
      <w:r w:rsidRPr="00B15A39">
        <w:rPr>
          <w:lang w:val="en"/>
        </w:rPr>
        <w:t>demonstrated commitment to interdisciplinary and/or inter-College collaboration in learning and teaching; and</w:t>
      </w:r>
    </w:p>
    <w:p w:rsidR="00032BD9" w:rsidRDefault="00032BD9" w:rsidP="00B15A39">
      <w:pPr>
        <w:pStyle w:val="ListParagraph"/>
        <w:numPr>
          <w:ilvl w:val="0"/>
          <w:numId w:val="4"/>
        </w:numPr>
        <w:ind w:left="709"/>
        <w:rPr>
          <w:lang w:val="en"/>
        </w:rPr>
      </w:pPr>
      <w:proofErr w:type="gramStart"/>
      <w:r w:rsidRPr="00B15A39">
        <w:rPr>
          <w:lang w:val="en"/>
        </w:rPr>
        <w:t>effective</w:t>
      </w:r>
      <w:proofErr w:type="gramEnd"/>
      <w:r w:rsidRPr="00B15A39">
        <w:rPr>
          <w:lang w:val="en"/>
        </w:rPr>
        <w:t xml:space="preserve"> participation in the La Trobe Learning Focus Area Hub.</w:t>
      </w:r>
    </w:p>
    <w:p w:rsidR="00ED01FD" w:rsidRDefault="00ED01FD" w:rsidP="003A5E00">
      <w:pPr>
        <w:spacing w:before="120" w:after="120"/>
        <w:ind w:left="567" w:hanging="567"/>
        <w:rPr>
          <w:lang w:val="en"/>
        </w:rPr>
      </w:pPr>
      <w:r>
        <w:rPr>
          <w:lang w:val="en"/>
        </w:rPr>
        <w:t>2.1.3</w:t>
      </w:r>
      <w:r>
        <w:rPr>
          <w:lang w:val="en"/>
        </w:rPr>
        <w:tab/>
        <w:t>Provision of resources and learning experiences to maximise opportunities for student participation across the academic year</w:t>
      </w:r>
      <w:r w:rsidR="00F63050">
        <w:rPr>
          <w:lang w:val="en"/>
        </w:rPr>
        <w:t>.</w:t>
      </w:r>
    </w:p>
    <w:p w:rsidR="00ED01FD" w:rsidRDefault="00ED01FD" w:rsidP="003A5E00">
      <w:pPr>
        <w:spacing w:before="120" w:after="120"/>
        <w:ind w:left="567" w:hanging="567"/>
        <w:rPr>
          <w:lang w:val="en"/>
        </w:rPr>
      </w:pPr>
      <w:r>
        <w:rPr>
          <w:lang w:val="en"/>
        </w:rPr>
        <w:t>2.1.4</w:t>
      </w:r>
      <w:r>
        <w:rPr>
          <w:lang w:val="en"/>
        </w:rPr>
        <w:tab/>
        <w:t>Provision of student support services</w:t>
      </w:r>
      <w:r w:rsidR="00F63050">
        <w:rPr>
          <w:lang w:val="en"/>
        </w:rPr>
        <w:t>.</w:t>
      </w:r>
    </w:p>
    <w:p w:rsidR="00ED01FD" w:rsidRDefault="00ED01FD" w:rsidP="003A5E00">
      <w:pPr>
        <w:spacing w:before="120" w:after="120"/>
        <w:ind w:left="567" w:hanging="567"/>
        <w:rPr>
          <w:lang w:val="en"/>
        </w:rPr>
      </w:pPr>
      <w:r>
        <w:rPr>
          <w:lang w:val="en"/>
        </w:rPr>
        <w:t>2.1.5</w:t>
      </w:r>
      <w:r>
        <w:rPr>
          <w:lang w:val="en"/>
        </w:rPr>
        <w:tab/>
        <w:t>Adequacy of learning and teaching infrastructure, including staff and student access to space and equipment</w:t>
      </w:r>
      <w:r w:rsidR="00F63050">
        <w:rPr>
          <w:lang w:val="en"/>
        </w:rPr>
        <w:t>.</w:t>
      </w:r>
    </w:p>
    <w:p w:rsidR="00BB436D" w:rsidRPr="00ED01FD" w:rsidRDefault="00ED01FD" w:rsidP="003A5E00">
      <w:pPr>
        <w:pStyle w:val="ListParagraph"/>
        <w:numPr>
          <w:ilvl w:val="0"/>
          <w:numId w:val="0"/>
        </w:numPr>
        <w:spacing w:before="240" w:line="276" w:lineRule="auto"/>
        <w:ind w:left="567" w:hanging="567"/>
        <w:contextualSpacing w:val="0"/>
        <w:rPr>
          <w:rFonts w:eastAsiaTheme="majorEastAsia" w:cs="Arial"/>
          <w:b/>
          <w:color w:val="404040" w:themeColor="text1" w:themeTint="BF"/>
          <w:szCs w:val="26"/>
        </w:rPr>
      </w:pPr>
      <w:r w:rsidRPr="00ED01FD">
        <w:rPr>
          <w:rFonts w:eastAsiaTheme="majorEastAsia" w:cs="Arial"/>
          <w:b/>
          <w:color w:val="404040" w:themeColor="text1" w:themeTint="BF"/>
          <w:szCs w:val="26"/>
        </w:rPr>
        <w:t>2.2</w:t>
      </w:r>
      <w:r w:rsidRPr="00ED01FD">
        <w:rPr>
          <w:rFonts w:eastAsiaTheme="majorEastAsia" w:cs="Arial"/>
          <w:b/>
          <w:color w:val="404040" w:themeColor="text1" w:themeTint="BF"/>
          <w:szCs w:val="26"/>
        </w:rPr>
        <w:tab/>
        <w:t>The Student Experience</w:t>
      </w:r>
    </w:p>
    <w:p w:rsidR="00ED01FD" w:rsidRDefault="00ED01FD" w:rsidP="003A5E00">
      <w:pPr>
        <w:spacing w:before="120" w:line="276" w:lineRule="auto"/>
        <w:rPr>
          <w:rFonts w:cstheme="minorHAnsi"/>
          <w:szCs w:val="22"/>
        </w:rPr>
      </w:pPr>
      <w:r>
        <w:rPr>
          <w:rFonts w:cstheme="minorHAnsi"/>
          <w:szCs w:val="22"/>
        </w:rPr>
        <w:t>The Panel should consider the School’s strategies aimed at enhancing the student experience, and the outcomes achieved including:</w:t>
      </w:r>
    </w:p>
    <w:p w:rsidR="00BB436D" w:rsidRPr="00BB436D" w:rsidRDefault="00BB436D" w:rsidP="00BB436D">
      <w:pPr>
        <w:pStyle w:val="ListParagraph"/>
        <w:numPr>
          <w:ilvl w:val="0"/>
          <w:numId w:val="16"/>
        </w:numPr>
        <w:spacing w:line="276" w:lineRule="auto"/>
      </w:pPr>
      <w:r>
        <w:rPr>
          <w:rFonts w:cs="Arial"/>
          <w:szCs w:val="22"/>
        </w:rPr>
        <w:t>the appropriateness of the student engagement activities of the School, given the discipline, mode of study and other characteristics of the student cohort;</w:t>
      </w:r>
    </w:p>
    <w:p w:rsidR="00BB436D" w:rsidRPr="00A249AF" w:rsidRDefault="00BB436D" w:rsidP="00BB436D">
      <w:pPr>
        <w:pStyle w:val="ListParagraph"/>
        <w:numPr>
          <w:ilvl w:val="0"/>
          <w:numId w:val="16"/>
        </w:numPr>
        <w:spacing w:line="276" w:lineRule="auto"/>
      </w:pPr>
      <w:r>
        <w:rPr>
          <w:rFonts w:cs="Arial"/>
          <w:szCs w:val="22"/>
        </w:rPr>
        <w:t>patterns and trends in student retention and success, compared with national field of education benchmarks;</w:t>
      </w:r>
    </w:p>
    <w:p w:rsidR="00BB436D" w:rsidRPr="00D87AD9" w:rsidRDefault="00BB436D" w:rsidP="00BB436D">
      <w:pPr>
        <w:pStyle w:val="ListParagraph"/>
        <w:numPr>
          <w:ilvl w:val="0"/>
          <w:numId w:val="16"/>
        </w:numPr>
        <w:spacing w:line="276" w:lineRule="auto"/>
      </w:pPr>
      <w:r>
        <w:t>the Schools approach to the systematic analysis and use of student feedback data for improvement purposes, and the extent to which the school ‘closes the loop’ with students who provide feedback;</w:t>
      </w:r>
      <w:r w:rsidR="00F63050">
        <w:t xml:space="preserve"> and</w:t>
      </w:r>
    </w:p>
    <w:p w:rsidR="00BB436D" w:rsidRDefault="00BB436D" w:rsidP="00BB436D">
      <w:pPr>
        <w:pStyle w:val="ListParagraph"/>
        <w:numPr>
          <w:ilvl w:val="0"/>
          <w:numId w:val="16"/>
        </w:numPr>
        <w:spacing w:line="276" w:lineRule="auto"/>
      </w:pPr>
      <w:r>
        <w:rPr>
          <w:rFonts w:cs="Arial"/>
          <w:szCs w:val="22"/>
        </w:rPr>
        <w:t>patterns and trends in Student Feedback on Subject/Student Feedback on Teaching and the surveys which comprise the Quality Indicators for Learning and Teaching (QILT).</w:t>
      </w:r>
    </w:p>
    <w:p w:rsidR="00ED01FD" w:rsidRPr="00ED01FD" w:rsidRDefault="00ED01FD" w:rsidP="003A5E00">
      <w:pPr>
        <w:pStyle w:val="ListParagraph"/>
        <w:numPr>
          <w:ilvl w:val="0"/>
          <w:numId w:val="0"/>
        </w:numPr>
        <w:spacing w:before="240" w:line="276" w:lineRule="auto"/>
        <w:ind w:left="567" w:hanging="567"/>
        <w:contextualSpacing w:val="0"/>
        <w:rPr>
          <w:rFonts w:eastAsiaTheme="majorEastAsia" w:cs="Arial"/>
          <w:b/>
          <w:color w:val="404040" w:themeColor="text1" w:themeTint="BF"/>
          <w:szCs w:val="26"/>
        </w:rPr>
      </w:pPr>
      <w:r w:rsidRPr="00ED01FD">
        <w:rPr>
          <w:rFonts w:eastAsiaTheme="majorEastAsia" w:cs="Arial"/>
          <w:b/>
          <w:color w:val="404040" w:themeColor="text1" w:themeTint="BF"/>
          <w:szCs w:val="26"/>
        </w:rPr>
        <w:t>2.3</w:t>
      </w:r>
      <w:r w:rsidRPr="00ED01FD">
        <w:rPr>
          <w:rFonts w:eastAsiaTheme="majorEastAsia" w:cs="Arial"/>
          <w:b/>
          <w:color w:val="404040" w:themeColor="text1" w:themeTint="BF"/>
          <w:szCs w:val="26"/>
        </w:rPr>
        <w:tab/>
        <w:t>Research and Research Training</w:t>
      </w:r>
    </w:p>
    <w:p w:rsidR="00ED01FD" w:rsidRDefault="00ED01FD" w:rsidP="003A5E00">
      <w:pPr>
        <w:spacing w:before="120"/>
      </w:pPr>
      <w:r>
        <w:t>The Panel should consider the School’s:</w:t>
      </w:r>
    </w:p>
    <w:p w:rsidR="00ED01FD" w:rsidRDefault="00ED01FD" w:rsidP="00ED01FD">
      <w:pPr>
        <w:pStyle w:val="ListParagraph"/>
        <w:numPr>
          <w:ilvl w:val="0"/>
          <w:numId w:val="30"/>
        </w:numPr>
      </w:pPr>
      <w:r>
        <w:t>vision for research and assessment of research strengths and relationship to University Research Focus Areas (RFAs) and Research Programs;</w:t>
      </w:r>
    </w:p>
    <w:p w:rsidR="00ED01FD" w:rsidRDefault="00ED01FD" w:rsidP="00ED01FD">
      <w:pPr>
        <w:pStyle w:val="ListParagraph"/>
        <w:numPr>
          <w:ilvl w:val="0"/>
          <w:numId w:val="30"/>
        </w:numPr>
      </w:pPr>
      <w:r>
        <w:t>Research performance including income, publications and quality against appropriate national and international benchmarks;</w:t>
      </w:r>
      <w:r w:rsidR="00F63050">
        <w:t xml:space="preserve"> and</w:t>
      </w:r>
    </w:p>
    <w:p w:rsidR="00ED01FD" w:rsidRDefault="00ED01FD" w:rsidP="00ED01FD">
      <w:pPr>
        <w:pStyle w:val="ListParagraph"/>
        <w:numPr>
          <w:ilvl w:val="0"/>
          <w:numId w:val="30"/>
        </w:numPr>
      </w:pPr>
      <w:r>
        <w:t>Mechanisms for supporting staff in research, including profile of the Career Researchers / Established Productive Researchers with</w:t>
      </w:r>
      <w:r w:rsidR="00F86F9C">
        <w:t>in</w:t>
      </w:r>
      <w:r>
        <w:t xml:space="preserve"> the School.</w:t>
      </w:r>
    </w:p>
    <w:p w:rsidR="001E0AE8" w:rsidRDefault="001E0AE8" w:rsidP="003A5E00">
      <w:pPr>
        <w:spacing w:before="120"/>
      </w:pPr>
      <w:r>
        <w:t>Assessment of ‘fitness for purpose’ of research infrastructure.</w:t>
      </w:r>
    </w:p>
    <w:p w:rsidR="001E0AE8" w:rsidRDefault="001E0AE8" w:rsidP="003A5E00">
      <w:pPr>
        <w:spacing w:before="120"/>
      </w:pPr>
      <w:r>
        <w:t>Effectiveness of partnerships with industry, government and other bodies to progress research objectives and in the commercialisation of research.</w:t>
      </w:r>
    </w:p>
    <w:p w:rsidR="001E0AE8" w:rsidRPr="00D87AD9" w:rsidRDefault="001E0AE8" w:rsidP="003A5E00">
      <w:pPr>
        <w:spacing w:before="120"/>
      </w:pPr>
      <w:r>
        <w:t>Quality of research training, including provision of high quality supervision, and effectiveness of connection with Graduate Research School.</w:t>
      </w:r>
    </w:p>
    <w:p w:rsidR="00A249AF" w:rsidRDefault="00A249AF" w:rsidP="00A249AF"/>
    <w:p w:rsidR="00DD4022" w:rsidRDefault="00DD4022">
      <w:pPr>
        <w:spacing w:after="160" w:line="259" w:lineRule="auto"/>
      </w:pPr>
      <w:r>
        <w:br w:type="page"/>
      </w:r>
    </w:p>
    <w:p w:rsidR="00032BD9" w:rsidRPr="00CA1285" w:rsidRDefault="001E0AE8" w:rsidP="00CA1285">
      <w:pPr>
        <w:pStyle w:val="ListParagraph"/>
        <w:numPr>
          <w:ilvl w:val="0"/>
          <w:numId w:val="0"/>
        </w:numPr>
        <w:spacing w:line="276" w:lineRule="auto"/>
        <w:ind w:left="567" w:hanging="567"/>
        <w:contextualSpacing w:val="0"/>
        <w:rPr>
          <w:rFonts w:eastAsiaTheme="majorEastAsia" w:cs="Arial"/>
          <w:b/>
          <w:color w:val="404040" w:themeColor="text1" w:themeTint="BF"/>
          <w:szCs w:val="26"/>
        </w:rPr>
      </w:pPr>
      <w:r w:rsidRPr="00CA1285">
        <w:rPr>
          <w:rFonts w:eastAsiaTheme="majorEastAsia" w:cs="Arial"/>
          <w:b/>
          <w:color w:val="404040" w:themeColor="text1" w:themeTint="BF"/>
          <w:szCs w:val="26"/>
        </w:rPr>
        <w:lastRenderedPageBreak/>
        <w:t>2.4</w:t>
      </w:r>
      <w:r w:rsidRPr="00CA1285">
        <w:rPr>
          <w:rFonts w:eastAsiaTheme="majorEastAsia" w:cs="Arial"/>
          <w:b/>
          <w:color w:val="404040" w:themeColor="text1" w:themeTint="BF"/>
          <w:szCs w:val="26"/>
        </w:rPr>
        <w:tab/>
        <w:t>Internationalisation</w:t>
      </w:r>
    </w:p>
    <w:p w:rsidR="00032BD9" w:rsidRPr="00D87AD9" w:rsidRDefault="00CA1285" w:rsidP="003A5E00">
      <w:pPr>
        <w:pStyle w:val="ListParagraph"/>
        <w:numPr>
          <w:ilvl w:val="0"/>
          <w:numId w:val="0"/>
        </w:numPr>
        <w:spacing w:before="120" w:line="276" w:lineRule="auto"/>
        <w:ind w:left="862" w:hanging="862"/>
        <w:contextualSpacing w:val="0"/>
      </w:pPr>
      <w:r>
        <w:t>International activities of the School including:</w:t>
      </w:r>
    </w:p>
    <w:p w:rsidR="00032BD9" w:rsidRPr="00D87AD9" w:rsidRDefault="00032BD9" w:rsidP="00A249AF">
      <w:pPr>
        <w:pStyle w:val="ListParagraph"/>
        <w:numPr>
          <w:ilvl w:val="0"/>
          <w:numId w:val="8"/>
        </w:numPr>
        <w:spacing w:line="276" w:lineRule="auto"/>
        <w:ind w:left="709"/>
        <w:contextualSpacing w:val="0"/>
        <w:rPr>
          <w:rFonts w:cs="Arial"/>
          <w:szCs w:val="22"/>
        </w:rPr>
      </w:pPr>
      <w:r w:rsidRPr="00D87AD9">
        <w:rPr>
          <w:rFonts w:cs="Arial"/>
          <w:szCs w:val="22"/>
        </w:rPr>
        <w:t>strategy for recruitment of international students and involvement in offshore teaching partnerships;</w:t>
      </w:r>
    </w:p>
    <w:p w:rsidR="00032BD9" w:rsidRPr="00D87AD9" w:rsidRDefault="00032BD9" w:rsidP="00A249AF">
      <w:pPr>
        <w:pStyle w:val="ListParagraph"/>
        <w:numPr>
          <w:ilvl w:val="0"/>
          <w:numId w:val="8"/>
        </w:numPr>
        <w:spacing w:line="276" w:lineRule="auto"/>
        <w:ind w:left="709"/>
        <w:contextualSpacing w:val="0"/>
        <w:rPr>
          <w:rFonts w:cs="Arial"/>
          <w:szCs w:val="22"/>
        </w:rPr>
      </w:pPr>
      <w:r w:rsidRPr="00D87AD9">
        <w:rPr>
          <w:rFonts w:cs="Arial"/>
          <w:szCs w:val="22"/>
        </w:rPr>
        <w:t>effectiveness of support services provided to international students;</w:t>
      </w:r>
    </w:p>
    <w:p w:rsidR="00032BD9" w:rsidRPr="00D87AD9" w:rsidRDefault="00032BD9" w:rsidP="00A249AF">
      <w:pPr>
        <w:pStyle w:val="ListParagraph"/>
        <w:numPr>
          <w:ilvl w:val="0"/>
          <w:numId w:val="8"/>
        </w:numPr>
        <w:spacing w:line="276" w:lineRule="auto"/>
        <w:ind w:left="709"/>
        <w:contextualSpacing w:val="0"/>
        <w:rPr>
          <w:rFonts w:cs="Arial"/>
          <w:szCs w:val="22"/>
        </w:rPr>
      </w:pPr>
      <w:r w:rsidRPr="00D87AD9">
        <w:rPr>
          <w:rFonts w:cs="Arial"/>
          <w:szCs w:val="22"/>
        </w:rPr>
        <w:t>international study experiences provided to domestic students;</w:t>
      </w:r>
    </w:p>
    <w:p w:rsidR="00032BD9" w:rsidRPr="00D87AD9" w:rsidRDefault="00032BD9" w:rsidP="00A249AF">
      <w:pPr>
        <w:pStyle w:val="ListParagraph"/>
        <w:numPr>
          <w:ilvl w:val="0"/>
          <w:numId w:val="8"/>
        </w:numPr>
        <w:spacing w:line="276" w:lineRule="auto"/>
        <w:ind w:left="709"/>
        <w:contextualSpacing w:val="0"/>
        <w:rPr>
          <w:rFonts w:cs="Arial"/>
          <w:szCs w:val="22"/>
        </w:rPr>
      </w:pPr>
      <w:r w:rsidRPr="00D87AD9">
        <w:rPr>
          <w:rFonts w:cs="Arial"/>
          <w:szCs w:val="22"/>
        </w:rPr>
        <w:t>status of internationalization of the curriculum; and</w:t>
      </w:r>
    </w:p>
    <w:p w:rsidR="00032BD9" w:rsidRPr="00D87AD9" w:rsidRDefault="00032BD9" w:rsidP="00A249AF">
      <w:pPr>
        <w:pStyle w:val="ListParagraph"/>
        <w:numPr>
          <w:ilvl w:val="0"/>
          <w:numId w:val="8"/>
        </w:numPr>
        <w:spacing w:line="276" w:lineRule="auto"/>
        <w:ind w:left="709"/>
        <w:contextualSpacing w:val="0"/>
        <w:rPr>
          <w:rFonts w:cs="Arial"/>
          <w:szCs w:val="22"/>
        </w:rPr>
      </w:pPr>
      <w:proofErr w:type="gramStart"/>
      <w:r w:rsidRPr="00D87AD9">
        <w:rPr>
          <w:rFonts w:cs="Arial"/>
          <w:szCs w:val="22"/>
        </w:rPr>
        <w:t>scope</w:t>
      </w:r>
      <w:proofErr w:type="gramEnd"/>
      <w:r w:rsidRPr="00D87AD9">
        <w:rPr>
          <w:rFonts w:cs="Arial"/>
          <w:szCs w:val="22"/>
        </w:rPr>
        <w:t>, nature and outcomes of international research collaborations</w:t>
      </w:r>
      <w:r w:rsidR="00F6731E">
        <w:rPr>
          <w:rFonts w:cs="Arial"/>
          <w:szCs w:val="22"/>
        </w:rPr>
        <w:t>.</w:t>
      </w:r>
    </w:p>
    <w:p w:rsidR="003A5E00" w:rsidRPr="003A5E00" w:rsidRDefault="003A5E00" w:rsidP="00DD4022">
      <w:pPr>
        <w:pStyle w:val="ListParagraph"/>
        <w:numPr>
          <w:ilvl w:val="0"/>
          <w:numId w:val="0"/>
        </w:numPr>
        <w:spacing w:before="240" w:line="276" w:lineRule="auto"/>
        <w:ind w:left="567" w:hanging="567"/>
        <w:contextualSpacing w:val="0"/>
        <w:rPr>
          <w:rFonts w:eastAsiaTheme="majorEastAsia" w:cs="Arial"/>
          <w:b/>
          <w:color w:val="404040" w:themeColor="text1" w:themeTint="BF"/>
          <w:szCs w:val="26"/>
        </w:rPr>
      </w:pPr>
      <w:r w:rsidRPr="003A5E00">
        <w:rPr>
          <w:rFonts w:eastAsiaTheme="majorEastAsia" w:cs="Arial"/>
          <w:b/>
          <w:color w:val="404040" w:themeColor="text1" w:themeTint="BF"/>
          <w:szCs w:val="26"/>
        </w:rPr>
        <w:t>2.5</w:t>
      </w:r>
      <w:r w:rsidRPr="003A5E00">
        <w:rPr>
          <w:rFonts w:eastAsiaTheme="majorEastAsia" w:cs="Arial"/>
          <w:b/>
          <w:color w:val="404040" w:themeColor="text1" w:themeTint="BF"/>
          <w:szCs w:val="26"/>
        </w:rPr>
        <w:tab/>
        <w:t>Community Engagement</w:t>
      </w:r>
    </w:p>
    <w:p w:rsidR="003A5E00" w:rsidRDefault="003A5E00" w:rsidP="003A5E00">
      <w:pPr>
        <w:spacing w:before="120" w:line="276" w:lineRule="auto"/>
        <w:rPr>
          <w:rFonts w:cs="Arial"/>
          <w:szCs w:val="22"/>
        </w:rPr>
      </w:pPr>
      <w:r>
        <w:rPr>
          <w:rFonts w:cs="Arial"/>
          <w:szCs w:val="22"/>
        </w:rPr>
        <w:t>Engagement activities of the School including:</w:t>
      </w:r>
    </w:p>
    <w:p w:rsidR="003A5E00" w:rsidRDefault="003A5E00" w:rsidP="003A5E00">
      <w:pPr>
        <w:pStyle w:val="ListParagraph"/>
        <w:numPr>
          <w:ilvl w:val="0"/>
          <w:numId w:val="33"/>
        </w:numPr>
        <w:spacing w:line="276" w:lineRule="auto"/>
        <w:rPr>
          <w:rFonts w:cs="Arial"/>
          <w:szCs w:val="22"/>
        </w:rPr>
      </w:pPr>
      <w:r>
        <w:rPr>
          <w:rFonts w:cs="Arial"/>
          <w:szCs w:val="22"/>
        </w:rPr>
        <w:t>scale, scope and effectiveness/impact of community engagement activities;</w:t>
      </w:r>
      <w:r w:rsidR="00F6731E">
        <w:rPr>
          <w:rFonts w:cs="Arial"/>
          <w:szCs w:val="22"/>
        </w:rPr>
        <w:t xml:space="preserve"> and</w:t>
      </w:r>
    </w:p>
    <w:p w:rsidR="003A5E00" w:rsidRPr="003A5E00" w:rsidRDefault="003A5E00" w:rsidP="003A5E00">
      <w:pPr>
        <w:pStyle w:val="ListParagraph"/>
        <w:numPr>
          <w:ilvl w:val="0"/>
          <w:numId w:val="33"/>
        </w:numPr>
        <w:spacing w:line="276" w:lineRule="auto"/>
        <w:rPr>
          <w:rFonts w:cs="Arial"/>
          <w:szCs w:val="22"/>
        </w:rPr>
      </w:pPr>
      <w:proofErr w:type="gramStart"/>
      <w:r>
        <w:rPr>
          <w:rFonts w:cs="Arial"/>
          <w:szCs w:val="22"/>
        </w:rPr>
        <w:t>the</w:t>
      </w:r>
      <w:proofErr w:type="gramEnd"/>
      <w:r>
        <w:rPr>
          <w:rFonts w:cs="Arial"/>
          <w:szCs w:val="22"/>
        </w:rPr>
        <w:t xml:space="preserve"> School’s interaction and connections with the Future Students Centre, the Schools Partnership Office, Alumni and Advancement</w:t>
      </w:r>
      <w:r w:rsidR="00F6731E">
        <w:rPr>
          <w:rFonts w:cs="Arial"/>
          <w:szCs w:val="22"/>
        </w:rPr>
        <w:t>.</w:t>
      </w:r>
    </w:p>
    <w:p w:rsidR="003A5E00" w:rsidRDefault="003A5E00" w:rsidP="00A249AF">
      <w:pPr>
        <w:spacing w:line="276" w:lineRule="auto"/>
        <w:rPr>
          <w:rFonts w:cs="Arial"/>
          <w:szCs w:val="22"/>
        </w:rPr>
      </w:pPr>
    </w:p>
    <w:p w:rsidR="003A5E00" w:rsidRDefault="003A5E00" w:rsidP="00A249AF">
      <w:pPr>
        <w:spacing w:line="276" w:lineRule="auto"/>
        <w:rPr>
          <w:rFonts w:cs="Arial"/>
          <w:szCs w:val="22"/>
        </w:rPr>
      </w:pPr>
    </w:p>
    <w:sectPr w:rsidR="003A5E00" w:rsidSect="00D87AD9">
      <w:head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5A" w:rsidRDefault="006C3A5A">
      <w:r>
        <w:separator/>
      </w:r>
    </w:p>
  </w:endnote>
  <w:endnote w:type="continuationSeparator" w:id="0">
    <w:p w:rsidR="006C3A5A" w:rsidRDefault="006C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5A" w:rsidRDefault="006C3A5A">
      <w:r>
        <w:separator/>
      </w:r>
    </w:p>
  </w:footnote>
  <w:footnote w:type="continuationSeparator" w:id="0">
    <w:p w:rsidR="006C3A5A" w:rsidRDefault="006C3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E0" w:rsidRDefault="00032BD9" w:rsidP="00C147EF">
    <w:pPr>
      <w:pStyle w:val="Header"/>
      <w:jc w:val="both"/>
      <w:rPr>
        <w:rFonts w:ascii="Arial" w:hAnsi="Arial" w:cs="Arial"/>
        <w:b/>
        <w:szCs w:val="22"/>
      </w:rPr>
    </w:pPr>
    <w:r>
      <w:tab/>
    </w:r>
    <w:r>
      <w:tab/>
    </w:r>
    <w:r>
      <w:rPr>
        <w:rFonts w:ascii="Arial" w:hAnsi="Arial" w:cs="Arial"/>
        <w:b/>
        <w:szCs w:val="22"/>
      </w:rPr>
      <w:t xml:space="preserve"> </w:t>
    </w:r>
  </w:p>
  <w:p w:rsidR="008440E0" w:rsidRPr="00991942" w:rsidRDefault="00075607" w:rsidP="00C147EF">
    <w:pPr>
      <w:pStyle w:val="Header"/>
      <w:jc w:val="right"/>
      <w:rPr>
        <w:rFonts w:ascii="Arial" w:hAnsi="Arial" w:cs="Arial"/>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EF" w:rsidRDefault="00D87AD9">
    <w:pPr>
      <w:pStyle w:val="Header"/>
    </w:pPr>
    <w:r>
      <w:rPr>
        <w:rFonts w:ascii="Arial" w:hAnsi="Arial" w:cs="Arial"/>
        <w:b/>
        <w:noProof/>
        <w:szCs w:val="22"/>
      </w:rPr>
      <w:drawing>
        <wp:inline distT="0" distB="0" distL="0" distR="0" wp14:anchorId="7C70A050" wp14:editId="07C317A6">
          <wp:extent cx="1796568" cy="49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6568" cy="49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99C"/>
    <w:multiLevelType w:val="multilevel"/>
    <w:tmpl w:val="30EE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0B2B"/>
    <w:multiLevelType w:val="hybridMultilevel"/>
    <w:tmpl w:val="FCA4A7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83FF4"/>
    <w:multiLevelType w:val="hybridMultilevel"/>
    <w:tmpl w:val="8912E3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E441E"/>
    <w:multiLevelType w:val="hybridMultilevel"/>
    <w:tmpl w:val="FEF463EE"/>
    <w:lvl w:ilvl="0" w:tplc="D632CA1C">
      <w:start w:val="1"/>
      <w:numFmt w:val="decimal"/>
      <w:pStyle w:val="Style1"/>
      <w:lvlText w:val="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9A204AF"/>
    <w:multiLevelType w:val="hybridMultilevel"/>
    <w:tmpl w:val="D7D6C9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B029B"/>
    <w:multiLevelType w:val="hybridMultilevel"/>
    <w:tmpl w:val="B80894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96281"/>
    <w:multiLevelType w:val="hybridMultilevel"/>
    <w:tmpl w:val="590A4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53938"/>
    <w:multiLevelType w:val="hybridMultilevel"/>
    <w:tmpl w:val="C116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A4655"/>
    <w:multiLevelType w:val="hybridMultilevel"/>
    <w:tmpl w:val="8A66D3C8"/>
    <w:lvl w:ilvl="0" w:tplc="0C090001">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47F4352"/>
    <w:multiLevelType w:val="hybridMultilevel"/>
    <w:tmpl w:val="C0A4D0B6"/>
    <w:lvl w:ilvl="0" w:tplc="FF867E10">
      <w:start w:val="1"/>
      <w:numFmt w:val="lowerLetter"/>
      <w:pStyle w:val="ListParagraph"/>
      <w:lvlText w:val="%1)"/>
      <w:lvlJc w:val="left"/>
      <w:pPr>
        <w:ind w:left="786" w:hanging="360"/>
      </w:pPr>
      <w:rPr>
        <w:rFont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569F6C89"/>
    <w:multiLevelType w:val="hybridMultilevel"/>
    <w:tmpl w:val="3ED01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3CD0C8B"/>
    <w:multiLevelType w:val="multilevel"/>
    <w:tmpl w:val="A454A18C"/>
    <w:lvl w:ilvl="0">
      <w:start w:val="1"/>
      <w:numFmt w:val="decimal"/>
      <w:pStyle w:val="Heading1"/>
      <w:lvlText w:val="%1"/>
      <w:lvlJc w:val="left"/>
      <w:pPr>
        <w:ind w:left="2701" w:hanging="432"/>
      </w:pPr>
    </w:lvl>
    <w:lvl w:ilvl="1">
      <w:start w:val="1"/>
      <w:numFmt w:val="decimal"/>
      <w:pStyle w:val="Heading2"/>
      <w:lvlText w:val="%1.%2"/>
      <w:lvlJc w:val="left"/>
      <w:pPr>
        <w:ind w:left="576" w:hanging="576"/>
      </w:pPr>
    </w:lvl>
    <w:lvl w:ilvl="2">
      <w:start w:val="1"/>
      <w:numFmt w:val="decimal"/>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6B7959"/>
    <w:multiLevelType w:val="multilevel"/>
    <w:tmpl w:val="595ED63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EC9734F"/>
    <w:multiLevelType w:val="hybridMultilevel"/>
    <w:tmpl w:val="F00EE588"/>
    <w:lvl w:ilvl="0" w:tplc="6EDA3420">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38A3C7B"/>
    <w:multiLevelType w:val="hybridMultilevel"/>
    <w:tmpl w:val="EF845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DB2DCB"/>
    <w:multiLevelType w:val="hybridMultilevel"/>
    <w:tmpl w:val="141499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CA41B2"/>
    <w:multiLevelType w:val="hybridMultilevel"/>
    <w:tmpl w:val="48BE01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3"/>
  </w:num>
  <w:num w:numId="7">
    <w:abstractNumId w:val="11"/>
  </w:num>
  <w:num w:numId="8">
    <w:abstractNumId w:val="9"/>
    <w:lvlOverride w:ilvl="0">
      <w:startOverride w:val="1"/>
    </w:lvlOverride>
  </w:num>
  <w:num w:numId="9">
    <w:abstractNumId w:val="9"/>
  </w:num>
  <w:num w:numId="10">
    <w:abstractNumId w:val="9"/>
    <w:lvlOverride w:ilvl="0">
      <w:startOverride w:val="1"/>
    </w:lvlOverride>
  </w:num>
  <w:num w:numId="11">
    <w:abstractNumId w:val="4"/>
  </w:num>
  <w:num w:numId="12">
    <w:abstractNumId w:val="2"/>
  </w:num>
  <w:num w:numId="13">
    <w:abstractNumId w:val="0"/>
  </w:num>
  <w:num w:numId="14">
    <w:abstractNumId w:val="6"/>
  </w:num>
  <w:num w:numId="15">
    <w:abstractNumId w:val="15"/>
  </w:num>
  <w:num w:numId="16">
    <w:abstractNumId w:val="14"/>
  </w:num>
  <w:num w:numId="17">
    <w:abstractNumId w:val="12"/>
  </w:num>
  <w:num w:numId="18">
    <w:abstractNumId w:val="9"/>
  </w:num>
  <w:num w:numId="19">
    <w:abstractNumId w:val="9"/>
    <w:lvlOverride w:ilvl="0">
      <w:startOverride w:val="1"/>
    </w:lvlOverride>
  </w:num>
  <w:num w:numId="20">
    <w:abstractNumId w:val="9"/>
  </w:num>
  <w:num w:numId="21">
    <w:abstractNumId w:val="1"/>
  </w:num>
  <w:num w:numId="22">
    <w:abstractNumId w:val="9"/>
  </w:num>
  <w:num w:numId="23">
    <w:abstractNumId w:val="9"/>
  </w:num>
  <w:num w:numId="24">
    <w:abstractNumId w:val="9"/>
  </w:num>
  <w:num w:numId="25">
    <w:abstractNumId w:val="9"/>
  </w:num>
  <w:num w:numId="26">
    <w:abstractNumId w:val="9"/>
    <w:lvlOverride w:ilvl="0">
      <w:startOverride w:val="1"/>
    </w:lvlOverride>
  </w:num>
  <w:num w:numId="27">
    <w:abstractNumId w:val="9"/>
  </w:num>
  <w:num w:numId="28">
    <w:abstractNumId w:val="9"/>
  </w:num>
  <w:num w:numId="29">
    <w:abstractNumId w:val="9"/>
  </w:num>
  <w:num w:numId="30">
    <w:abstractNumId w:val="16"/>
  </w:num>
  <w:num w:numId="31">
    <w:abstractNumId w:val="9"/>
  </w:num>
  <w:num w:numId="32">
    <w:abstractNumId w:val="9"/>
  </w:num>
  <w:num w:numId="33">
    <w:abstractNumId w:val="5"/>
  </w:num>
  <w:num w:numId="34">
    <w:abstractNumId w:val="10"/>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F5"/>
    <w:rsid w:val="00032BD9"/>
    <w:rsid w:val="00075607"/>
    <w:rsid w:val="000922F5"/>
    <w:rsid w:val="001E0AE8"/>
    <w:rsid w:val="00241334"/>
    <w:rsid w:val="003A5E00"/>
    <w:rsid w:val="005102EF"/>
    <w:rsid w:val="0066407D"/>
    <w:rsid w:val="006C3A5A"/>
    <w:rsid w:val="00A249AF"/>
    <w:rsid w:val="00B15A39"/>
    <w:rsid w:val="00BB436D"/>
    <w:rsid w:val="00BC73C9"/>
    <w:rsid w:val="00BF1394"/>
    <w:rsid w:val="00CA1285"/>
    <w:rsid w:val="00D87AD9"/>
    <w:rsid w:val="00DD4022"/>
    <w:rsid w:val="00E46BA6"/>
    <w:rsid w:val="00ED01FD"/>
    <w:rsid w:val="00F63050"/>
    <w:rsid w:val="00F6731E"/>
    <w:rsid w:val="00F86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8C3E-6CA2-4797-B01B-377A571E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D9"/>
    <w:pPr>
      <w:spacing w:after="0" w:line="240" w:lineRule="auto"/>
    </w:pPr>
    <w:rPr>
      <w:rFonts w:eastAsia="Times New Roman" w:cs="Times New Roman"/>
      <w:szCs w:val="24"/>
      <w:lang w:eastAsia="en-AU"/>
    </w:rPr>
  </w:style>
  <w:style w:type="paragraph" w:styleId="Heading1">
    <w:name w:val="heading 1"/>
    <w:basedOn w:val="Normal"/>
    <w:next w:val="Normal"/>
    <w:link w:val="Heading1Char"/>
    <w:autoRedefine/>
    <w:qFormat/>
    <w:rsid w:val="00032BD9"/>
    <w:pPr>
      <w:keepNext/>
      <w:keepLines/>
      <w:numPr>
        <w:numId w:val="7"/>
      </w:numPr>
      <w:spacing w:before="120" w:after="60"/>
      <w:ind w:left="432"/>
      <w:outlineLvl w:val="0"/>
    </w:pPr>
    <w:rPr>
      <w:rFonts w:ascii="Arial" w:eastAsiaTheme="majorEastAsia" w:hAnsi="Arial" w:cs="Arial"/>
      <w:b/>
      <w:bCs/>
      <w:i/>
      <w:szCs w:val="22"/>
    </w:rPr>
  </w:style>
  <w:style w:type="paragraph" w:styleId="Heading2">
    <w:name w:val="heading 2"/>
    <w:basedOn w:val="Heading1"/>
    <w:next w:val="Normal"/>
    <w:link w:val="Heading2Char"/>
    <w:unhideWhenUsed/>
    <w:qFormat/>
    <w:rsid w:val="00032BD9"/>
    <w:pPr>
      <w:numPr>
        <w:ilvl w:val="1"/>
      </w:numPr>
      <w:spacing w:before="200"/>
      <w:outlineLvl w:val="1"/>
    </w:pPr>
    <w:rPr>
      <w:rFonts w:asciiTheme="majorHAnsi" w:hAnsiTheme="majorHAnsi"/>
      <w:bCs w:val="0"/>
      <w:i w:val="0"/>
      <w:color w:val="404040" w:themeColor="text1" w:themeTint="BF"/>
      <w:szCs w:val="26"/>
    </w:rPr>
  </w:style>
  <w:style w:type="paragraph" w:styleId="Heading3">
    <w:name w:val="heading 3"/>
    <w:basedOn w:val="Heading2"/>
    <w:next w:val="Normal"/>
    <w:link w:val="Heading3Char"/>
    <w:autoRedefine/>
    <w:unhideWhenUsed/>
    <w:qFormat/>
    <w:rsid w:val="00ED01FD"/>
    <w:pPr>
      <w:numPr>
        <w:ilvl w:val="0"/>
        <w:numId w:val="0"/>
      </w:numPr>
      <w:spacing w:before="0" w:after="0" w:line="276" w:lineRule="auto"/>
      <w:ind w:left="567" w:hanging="567"/>
      <w:outlineLvl w:val="2"/>
    </w:pPr>
    <w:rPr>
      <w:rFonts w:ascii="Arial" w:hAnsi="Arial"/>
      <w:b w:val="0"/>
      <w:bCs/>
      <w:color w:val="auto"/>
      <w:szCs w:val="22"/>
      <w:lang w:val="en"/>
    </w:rPr>
  </w:style>
  <w:style w:type="paragraph" w:styleId="Heading4">
    <w:name w:val="heading 4"/>
    <w:basedOn w:val="Normal"/>
    <w:next w:val="Normal"/>
    <w:link w:val="Heading4Char"/>
    <w:semiHidden/>
    <w:unhideWhenUsed/>
    <w:qFormat/>
    <w:rsid w:val="00032BD9"/>
    <w:pPr>
      <w:keepNext/>
      <w:keepLines/>
      <w:numPr>
        <w:ilvl w:val="3"/>
        <w:numId w:val="7"/>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32BD9"/>
    <w:pPr>
      <w:keepNext/>
      <w:keepLines/>
      <w:numPr>
        <w:ilvl w:val="4"/>
        <w:numId w:val="7"/>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32BD9"/>
    <w:pPr>
      <w:keepNext/>
      <w:keepLines/>
      <w:numPr>
        <w:ilvl w:val="5"/>
        <w:numId w:val="7"/>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32BD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32BD9"/>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32BD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BD9"/>
    <w:rPr>
      <w:rFonts w:ascii="Arial" w:eastAsiaTheme="majorEastAsia" w:hAnsi="Arial" w:cs="Arial"/>
      <w:b/>
      <w:bCs/>
      <w:i/>
      <w:lang w:eastAsia="en-AU"/>
    </w:rPr>
  </w:style>
  <w:style w:type="character" w:customStyle="1" w:styleId="Heading2Char">
    <w:name w:val="Heading 2 Char"/>
    <w:basedOn w:val="DefaultParagraphFont"/>
    <w:link w:val="Heading2"/>
    <w:rsid w:val="00032BD9"/>
    <w:rPr>
      <w:rFonts w:asciiTheme="majorHAnsi" w:eastAsiaTheme="majorEastAsia" w:hAnsiTheme="majorHAnsi" w:cs="Arial"/>
      <w:b/>
      <w:color w:val="404040" w:themeColor="text1" w:themeTint="BF"/>
      <w:szCs w:val="26"/>
      <w:lang w:eastAsia="en-AU"/>
    </w:rPr>
  </w:style>
  <w:style w:type="character" w:customStyle="1" w:styleId="Heading3Char">
    <w:name w:val="Heading 3 Char"/>
    <w:basedOn w:val="DefaultParagraphFont"/>
    <w:link w:val="Heading3"/>
    <w:rsid w:val="00ED01FD"/>
    <w:rPr>
      <w:rFonts w:ascii="Arial" w:eastAsiaTheme="majorEastAsia" w:hAnsi="Arial" w:cs="Arial"/>
      <w:bCs/>
      <w:lang w:val="en" w:eastAsia="en-AU"/>
    </w:rPr>
  </w:style>
  <w:style w:type="character" w:customStyle="1" w:styleId="Heading4Char">
    <w:name w:val="Heading 4 Char"/>
    <w:basedOn w:val="DefaultParagraphFont"/>
    <w:link w:val="Heading4"/>
    <w:semiHidden/>
    <w:rsid w:val="00032BD9"/>
    <w:rPr>
      <w:rFonts w:asciiTheme="majorHAnsi" w:eastAsiaTheme="majorEastAsia" w:hAnsiTheme="majorHAnsi" w:cstheme="majorBidi"/>
      <w:b/>
      <w:bCs/>
      <w:i/>
      <w:iCs/>
      <w:color w:val="5B9BD5" w:themeColor="accent1"/>
      <w:szCs w:val="24"/>
      <w:lang w:eastAsia="en-AU"/>
    </w:rPr>
  </w:style>
  <w:style w:type="character" w:customStyle="1" w:styleId="Heading5Char">
    <w:name w:val="Heading 5 Char"/>
    <w:basedOn w:val="DefaultParagraphFont"/>
    <w:link w:val="Heading5"/>
    <w:semiHidden/>
    <w:rsid w:val="00032BD9"/>
    <w:rPr>
      <w:rFonts w:asciiTheme="majorHAnsi" w:eastAsiaTheme="majorEastAsia" w:hAnsiTheme="majorHAnsi" w:cstheme="majorBidi"/>
      <w:color w:val="1F4D78" w:themeColor="accent1" w:themeShade="7F"/>
      <w:szCs w:val="24"/>
      <w:lang w:eastAsia="en-AU"/>
    </w:rPr>
  </w:style>
  <w:style w:type="character" w:customStyle="1" w:styleId="Heading6Char">
    <w:name w:val="Heading 6 Char"/>
    <w:basedOn w:val="DefaultParagraphFont"/>
    <w:link w:val="Heading6"/>
    <w:semiHidden/>
    <w:rsid w:val="00032BD9"/>
    <w:rPr>
      <w:rFonts w:asciiTheme="majorHAnsi" w:eastAsiaTheme="majorEastAsia" w:hAnsiTheme="majorHAnsi" w:cstheme="majorBidi"/>
      <w:i/>
      <w:iCs/>
      <w:color w:val="1F4D78" w:themeColor="accent1" w:themeShade="7F"/>
      <w:szCs w:val="24"/>
      <w:lang w:eastAsia="en-AU"/>
    </w:rPr>
  </w:style>
  <w:style w:type="character" w:customStyle="1" w:styleId="Heading7Char">
    <w:name w:val="Heading 7 Char"/>
    <w:basedOn w:val="DefaultParagraphFont"/>
    <w:link w:val="Heading7"/>
    <w:semiHidden/>
    <w:rsid w:val="00032BD9"/>
    <w:rPr>
      <w:rFonts w:asciiTheme="majorHAnsi" w:eastAsiaTheme="majorEastAsia" w:hAnsiTheme="majorHAnsi" w:cstheme="majorBidi"/>
      <w:i/>
      <w:iCs/>
      <w:color w:val="404040" w:themeColor="text1" w:themeTint="BF"/>
      <w:szCs w:val="24"/>
      <w:lang w:eastAsia="en-AU"/>
    </w:rPr>
  </w:style>
  <w:style w:type="character" w:customStyle="1" w:styleId="Heading8Char">
    <w:name w:val="Heading 8 Char"/>
    <w:basedOn w:val="DefaultParagraphFont"/>
    <w:link w:val="Heading8"/>
    <w:semiHidden/>
    <w:rsid w:val="00032BD9"/>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032BD9"/>
    <w:rPr>
      <w:rFonts w:asciiTheme="majorHAnsi" w:eastAsiaTheme="majorEastAsia" w:hAnsiTheme="majorHAnsi" w:cstheme="majorBidi"/>
      <w:i/>
      <w:iCs/>
      <w:color w:val="404040" w:themeColor="text1" w:themeTint="BF"/>
      <w:sz w:val="20"/>
      <w:szCs w:val="20"/>
      <w:lang w:eastAsia="en-AU"/>
    </w:rPr>
  </w:style>
  <w:style w:type="paragraph" w:customStyle="1" w:styleId="Bulletlist">
    <w:name w:val="Bullet list"/>
    <w:basedOn w:val="Normal"/>
    <w:rsid w:val="00032BD9"/>
    <w:pPr>
      <w:numPr>
        <w:numId w:val="1"/>
      </w:numPr>
    </w:pPr>
  </w:style>
  <w:style w:type="paragraph" w:styleId="ListParagraph">
    <w:name w:val="List Paragraph"/>
    <w:basedOn w:val="Normal"/>
    <w:link w:val="ListParagraphChar"/>
    <w:uiPriority w:val="34"/>
    <w:qFormat/>
    <w:rsid w:val="00032BD9"/>
    <w:pPr>
      <w:numPr>
        <w:numId w:val="9"/>
      </w:numPr>
      <w:contextualSpacing/>
    </w:pPr>
  </w:style>
  <w:style w:type="paragraph" w:styleId="Header">
    <w:name w:val="header"/>
    <w:basedOn w:val="Normal"/>
    <w:link w:val="HeaderChar"/>
    <w:rsid w:val="00032BD9"/>
    <w:pPr>
      <w:tabs>
        <w:tab w:val="center" w:pos="4513"/>
        <w:tab w:val="right" w:pos="9026"/>
      </w:tabs>
    </w:pPr>
  </w:style>
  <w:style w:type="character" w:customStyle="1" w:styleId="HeaderChar">
    <w:name w:val="Header Char"/>
    <w:basedOn w:val="DefaultParagraphFont"/>
    <w:link w:val="Header"/>
    <w:rsid w:val="00032BD9"/>
    <w:rPr>
      <w:rFonts w:eastAsia="Times New Roman" w:cs="Times New Roman"/>
      <w:szCs w:val="24"/>
      <w:lang w:eastAsia="en-AU"/>
    </w:rPr>
  </w:style>
  <w:style w:type="paragraph" w:styleId="Footer">
    <w:name w:val="footer"/>
    <w:basedOn w:val="Normal"/>
    <w:link w:val="FooterChar"/>
    <w:rsid w:val="00032BD9"/>
    <w:pPr>
      <w:tabs>
        <w:tab w:val="center" w:pos="4513"/>
        <w:tab w:val="right" w:pos="9026"/>
      </w:tabs>
    </w:pPr>
  </w:style>
  <w:style w:type="character" w:customStyle="1" w:styleId="FooterChar">
    <w:name w:val="Footer Char"/>
    <w:basedOn w:val="DefaultParagraphFont"/>
    <w:link w:val="Footer"/>
    <w:rsid w:val="00032BD9"/>
    <w:rPr>
      <w:rFonts w:eastAsia="Times New Roman" w:cs="Times New Roman"/>
      <w:szCs w:val="24"/>
      <w:lang w:eastAsia="en-AU"/>
    </w:rPr>
  </w:style>
  <w:style w:type="character" w:customStyle="1" w:styleId="ListParagraphChar">
    <w:name w:val="List Paragraph Char"/>
    <w:basedOn w:val="DefaultParagraphFont"/>
    <w:link w:val="ListParagraph"/>
    <w:uiPriority w:val="34"/>
    <w:rsid w:val="00032BD9"/>
    <w:rPr>
      <w:rFonts w:eastAsia="Times New Roman" w:cs="Times New Roman"/>
      <w:szCs w:val="24"/>
      <w:lang w:eastAsia="en-AU"/>
    </w:rPr>
  </w:style>
  <w:style w:type="paragraph" w:customStyle="1" w:styleId="Style1">
    <w:name w:val="Style1"/>
    <w:basedOn w:val="ListParagraph"/>
    <w:link w:val="Style1Char"/>
    <w:qFormat/>
    <w:rsid w:val="00032BD9"/>
    <w:pPr>
      <w:numPr>
        <w:numId w:val="6"/>
      </w:numPr>
    </w:pPr>
  </w:style>
  <w:style w:type="character" w:customStyle="1" w:styleId="Style1Char">
    <w:name w:val="Style1 Char"/>
    <w:basedOn w:val="ListParagraphChar"/>
    <w:link w:val="Style1"/>
    <w:rsid w:val="00032BD9"/>
    <w:rPr>
      <w:rFonts w:eastAsia="Times New Roman" w:cs="Times New Roman"/>
      <w:szCs w:val="24"/>
      <w:lang w:eastAsia="en-AU"/>
    </w:rPr>
  </w:style>
  <w:style w:type="paragraph" w:styleId="Title">
    <w:name w:val="Title"/>
    <w:basedOn w:val="Normal"/>
    <w:next w:val="Normal"/>
    <w:link w:val="TitleChar"/>
    <w:qFormat/>
    <w:rsid w:val="00032BD9"/>
    <w:pPr>
      <w:framePr w:wrap="around" w:vAnchor="text" w:hAnchor="text" w:y="1"/>
      <w:spacing w:after="300"/>
      <w:contextualSpacing/>
      <w:jc w:val="center"/>
    </w:pPr>
    <w:rPr>
      <w:rFonts w:ascii="Arial" w:eastAsiaTheme="majorEastAsia" w:hAnsi="Arial" w:cstheme="majorBidi"/>
      <w:b/>
      <w:spacing w:val="5"/>
      <w:kern w:val="28"/>
      <w:sz w:val="24"/>
      <w:szCs w:val="52"/>
    </w:rPr>
  </w:style>
  <w:style w:type="character" w:customStyle="1" w:styleId="TitleChar">
    <w:name w:val="Title Char"/>
    <w:basedOn w:val="DefaultParagraphFont"/>
    <w:link w:val="Title"/>
    <w:rsid w:val="00032BD9"/>
    <w:rPr>
      <w:rFonts w:ascii="Arial" w:eastAsiaTheme="majorEastAsia" w:hAnsi="Arial" w:cstheme="majorBidi"/>
      <w:b/>
      <w:spacing w:val="5"/>
      <w:kern w:val="28"/>
      <w:sz w:val="24"/>
      <w:szCs w:val="52"/>
      <w:lang w:eastAsia="en-AU"/>
    </w:rPr>
  </w:style>
  <w:style w:type="character" w:styleId="Strong">
    <w:name w:val="Strong"/>
    <w:basedOn w:val="DefaultParagraphFont"/>
    <w:uiPriority w:val="22"/>
    <w:qFormat/>
    <w:rsid w:val="00032BD9"/>
    <w:rPr>
      <w:b/>
      <w:bCs/>
    </w:rPr>
  </w:style>
  <w:style w:type="paragraph" w:styleId="BalloonText">
    <w:name w:val="Balloon Text"/>
    <w:basedOn w:val="Normal"/>
    <w:link w:val="BalloonTextChar"/>
    <w:uiPriority w:val="99"/>
    <w:semiHidden/>
    <w:unhideWhenUsed/>
    <w:rsid w:val="00BB4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6D"/>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F6731E"/>
    <w:rPr>
      <w:sz w:val="16"/>
      <w:szCs w:val="16"/>
    </w:rPr>
  </w:style>
  <w:style w:type="paragraph" w:styleId="CommentText">
    <w:name w:val="annotation text"/>
    <w:basedOn w:val="Normal"/>
    <w:link w:val="CommentTextChar"/>
    <w:uiPriority w:val="99"/>
    <w:semiHidden/>
    <w:unhideWhenUsed/>
    <w:rsid w:val="00F6731E"/>
    <w:rPr>
      <w:sz w:val="20"/>
      <w:szCs w:val="20"/>
    </w:rPr>
  </w:style>
  <w:style w:type="character" w:customStyle="1" w:styleId="CommentTextChar">
    <w:name w:val="Comment Text Char"/>
    <w:basedOn w:val="DefaultParagraphFont"/>
    <w:link w:val="CommentText"/>
    <w:uiPriority w:val="99"/>
    <w:semiHidden/>
    <w:rsid w:val="00F6731E"/>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6731E"/>
    <w:rPr>
      <w:b/>
      <w:bCs/>
    </w:rPr>
  </w:style>
  <w:style w:type="character" w:customStyle="1" w:styleId="CommentSubjectChar">
    <w:name w:val="Comment Subject Char"/>
    <w:basedOn w:val="CommentTextChar"/>
    <w:link w:val="CommentSubject"/>
    <w:uiPriority w:val="99"/>
    <w:semiHidden/>
    <w:rsid w:val="00F6731E"/>
    <w:rPr>
      <w:rFonts w:eastAsia="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Harris</dc:creator>
  <cp:keywords/>
  <dc:description/>
  <cp:lastModifiedBy>John McGuiness</cp:lastModifiedBy>
  <cp:revision>2</cp:revision>
  <cp:lastPrinted>2017-07-18T00:16:00Z</cp:lastPrinted>
  <dcterms:created xsi:type="dcterms:W3CDTF">2017-07-18T03:35:00Z</dcterms:created>
  <dcterms:modified xsi:type="dcterms:W3CDTF">2017-07-18T03:35:00Z</dcterms:modified>
</cp:coreProperties>
</file>